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rPr>
      </w:pPr>
    </w:p>
    <w:p>
      <w:pPr>
        <w:keepNext w:val="0"/>
        <w:keepLines w:val="0"/>
        <w:pageBreakBefore w:val="0"/>
        <w:widowControl w:val="0"/>
        <w:kinsoku/>
        <w:wordWrap/>
        <w:overflowPunct/>
        <w:topLinePunct w:val="0"/>
        <w:autoSpaceDE/>
        <w:autoSpaceDN/>
        <w:bidi w:val="0"/>
        <w:adjustRightInd/>
        <w:snapToGrid/>
        <w:spacing w:line="580" w:lineRule="exact"/>
        <w:jc w:val="left"/>
        <w:textAlignment w:val="auto"/>
        <w:rPr>
          <w:rFonts w:hint="eastAsia" w:ascii="仿宋_GB2312" w:hAnsi="仿宋_GB2312" w:eastAsia="仿宋_GB2312" w:cs="仿宋_GB2312"/>
          <w:spacing w:val="-4"/>
          <w:sz w:val="32"/>
          <w:szCs w:val="32"/>
          <w:lang w:val="en-US" w:eastAsia="zh-CN"/>
        </w:rPr>
      </w:pPr>
      <w:r>
        <w:rPr>
          <w:rFonts w:hint="eastAsia" w:ascii="仿宋_GB2312" w:hAnsi="仿宋_GB2312" w:eastAsia="仿宋_GB2312" w:cs="仿宋_GB2312"/>
          <w:spacing w:val="-4"/>
          <w:sz w:val="32"/>
          <w:szCs w:val="32"/>
        </w:rPr>
        <w:t>附件</w:t>
      </w:r>
      <w:r>
        <w:rPr>
          <w:rFonts w:hint="eastAsia" w:ascii="仿宋_GB2312" w:hAnsi="仿宋_GB2312" w:eastAsia="仿宋_GB2312" w:cs="仿宋_GB2312"/>
          <w:spacing w:val="-4"/>
          <w:sz w:val="32"/>
          <w:szCs w:val="32"/>
          <w:lang w:val="en-US" w:eastAsia="zh-CN"/>
        </w:rPr>
        <w:t>5</w:t>
      </w:r>
    </w:p>
    <w:p>
      <w:pPr>
        <w:jc w:val="center"/>
        <w:rPr>
          <w:rFonts w:hint="eastAsia" w:ascii="方正小标宋简体" w:hAnsi="方正小标宋简体" w:eastAsia="方正小标宋简体" w:cs="方正小标宋简体"/>
          <w:sz w:val="44"/>
          <w:szCs w:val="44"/>
        </w:rPr>
      </w:pPr>
    </w:p>
    <w:p>
      <w:pPr>
        <w:jc w:val="center"/>
        <w:rPr>
          <w:rFonts w:hint="eastAsia" w:ascii="方正小标宋简体" w:hAnsi="方正小标宋简体" w:eastAsia="方正小标宋简体" w:cs="方正小标宋简体"/>
          <w:sz w:val="44"/>
          <w:szCs w:val="44"/>
        </w:rPr>
      </w:pPr>
    </w:p>
    <w:p>
      <w:pPr>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202</w:t>
      </w:r>
      <w:r>
        <w:rPr>
          <w:rFonts w:hint="eastAsia" w:ascii="方正小标宋简体" w:hAnsi="方正小标宋简体" w:eastAsia="方正小标宋简体" w:cs="方正小标宋简体"/>
          <w:sz w:val="44"/>
          <w:szCs w:val="44"/>
          <w:lang w:val="en-US" w:eastAsia="zh-CN"/>
        </w:rPr>
        <w:t>3</w:t>
      </w:r>
      <w:r>
        <w:rPr>
          <w:rFonts w:hint="eastAsia" w:ascii="方正小标宋简体" w:hAnsi="方正小标宋简体" w:eastAsia="方正小标宋简体" w:cs="方正小标宋简体"/>
          <w:sz w:val="44"/>
          <w:szCs w:val="44"/>
        </w:rPr>
        <w:t>年度</w:t>
      </w:r>
      <w:r>
        <w:rPr>
          <w:rFonts w:hint="eastAsia" w:ascii="方正小标宋简体" w:hAnsi="方正小标宋简体" w:eastAsia="方正小标宋简体" w:cs="方正小标宋简体"/>
          <w:sz w:val="44"/>
          <w:szCs w:val="44"/>
          <w:lang w:eastAsia="zh-CN"/>
        </w:rPr>
        <w:t>梅田湖镇人民政府项目</w:t>
      </w:r>
      <w:r>
        <w:rPr>
          <w:rFonts w:hint="eastAsia" w:ascii="方正小标宋简体" w:hAnsi="方正小标宋简体" w:eastAsia="方正小标宋简体" w:cs="方正小标宋简体"/>
          <w:sz w:val="44"/>
          <w:szCs w:val="44"/>
        </w:rPr>
        <w:t>支出</w:t>
      </w:r>
    </w:p>
    <w:p>
      <w:pPr>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绩效自评报告</w:t>
      </w:r>
    </w:p>
    <w:p>
      <w:pPr>
        <w:jc w:val="center"/>
        <w:rPr>
          <w:rFonts w:hint="default" w:ascii="Times New Roman" w:hAnsi="Times New Roman" w:eastAsia="方正小标宋_GBK" w:cs="Times New Roman"/>
          <w:b/>
          <w:sz w:val="52"/>
          <w:szCs w:val="52"/>
        </w:rPr>
      </w:pPr>
    </w:p>
    <w:p>
      <w:pPr>
        <w:jc w:val="center"/>
        <w:rPr>
          <w:rFonts w:hint="default" w:ascii="Times New Roman" w:hAnsi="Times New Roman" w:eastAsia="黑体" w:cs="Times New Roman"/>
          <w:sz w:val="32"/>
          <w:szCs w:val="32"/>
        </w:rPr>
      </w:pPr>
    </w:p>
    <w:p>
      <w:pPr>
        <w:pStyle w:val="2"/>
        <w:rPr>
          <w:rFonts w:hint="default"/>
        </w:rPr>
      </w:pPr>
    </w:p>
    <w:p>
      <w:pPr>
        <w:jc w:val="center"/>
        <w:rPr>
          <w:rFonts w:hint="default" w:ascii="Times New Roman" w:hAnsi="Times New Roman" w:eastAsia="黑体" w:cs="Times New Roman"/>
          <w:sz w:val="32"/>
          <w:szCs w:val="32"/>
        </w:rPr>
      </w:pPr>
    </w:p>
    <w:p>
      <w:pPr>
        <w:jc w:val="center"/>
        <w:rPr>
          <w:rFonts w:hint="default" w:ascii="Times New Roman" w:hAnsi="Times New Roman" w:eastAsia="黑体" w:cs="Times New Roman"/>
          <w:sz w:val="32"/>
          <w:szCs w:val="32"/>
        </w:rPr>
      </w:pPr>
    </w:p>
    <w:p>
      <w:pPr>
        <w:jc w:val="center"/>
        <w:rPr>
          <w:rFonts w:hint="default" w:ascii="Times New Roman" w:hAnsi="Times New Roman" w:eastAsia="黑体" w:cs="Times New Roman"/>
          <w:sz w:val="32"/>
          <w:szCs w:val="32"/>
        </w:rPr>
      </w:pPr>
    </w:p>
    <w:p>
      <w:pPr>
        <w:jc w:val="center"/>
        <w:rPr>
          <w:rFonts w:hint="default" w:ascii="Times New Roman" w:hAnsi="Times New Roman" w:eastAsia="黑体" w:cs="Times New Roman"/>
          <w:sz w:val="32"/>
          <w:szCs w:val="32"/>
        </w:rPr>
      </w:pPr>
    </w:p>
    <w:p>
      <w:pPr>
        <w:jc w:val="both"/>
        <w:rPr>
          <w:rFonts w:hint="default" w:ascii="Times New Roman" w:hAnsi="Times New Roman" w:eastAsia="黑体" w:cs="Times New Roman"/>
          <w:sz w:val="32"/>
          <w:szCs w:val="32"/>
        </w:rPr>
      </w:pPr>
    </w:p>
    <w:p>
      <w:pPr>
        <w:pStyle w:val="4"/>
        <w:keepNext w:val="0"/>
        <w:keepLines w:val="0"/>
        <w:pageBreakBefore w:val="0"/>
        <w:widowControl w:val="0"/>
        <w:kinsoku/>
        <w:wordWrap/>
        <w:overflowPunct/>
        <w:topLinePunct w:val="0"/>
        <w:autoSpaceDE/>
        <w:autoSpaceDN/>
        <w:bidi w:val="0"/>
        <w:adjustRightInd/>
        <w:snapToGrid/>
        <w:spacing w:before="100" w:line="221" w:lineRule="auto"/>
        <w:ind w:firstLine="60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10"/>
          <w:sz w:val="32"/>
          <w:szCs w:val="32"/>
        </w:rPr>
        <w:t>部门（单位）名称</w:t>
      </w:r>
      <w:r>
        <w:rPr>
          <w:rFonts w:hint="eastAsia" w:ascii="仿宋_GB2312" w:hAnsi="仿宋_GB2312" w:eastAsia="仿宋_GB2312" w:cs="仿宋_GB2312"/>
          <w:spacing w:val="4"/>
          <w:sz w:val="32"/>
          <w:szCs w:val="32"/>
        </w:rPr>
        <w:t>：</w:t>
      </w:r>
      <w:r>
        <w:rPr>
          <w:rFonts w:hint="eastAsia" w:ascii="仿宋_GB2312" w:hAnsi="仿宋_GB2312" w:eastAsia="仿宋_GB2312" w:cs="仿宋_GB2312"/>
          <w:spacing w:val="4"/>
          <w:sz w:val="32"/>
          <w:szCs w:val="32"/>
          <w:u w:val="single" w:color="auto"/>
          <w:lang w:val="en-US" w:eastAsia="zh-CN"/>
        </w:rPr>
        <w:t>(</w:t>
      </w:r>
      <w:r>
        <w:rPr>
          <w:rFonts w:hint="eastAsia" w:ascii="仿宋_GB2312" w:hAnsi="仿宋_GB2312" w:eastAsia="仿宋_GB2312" w:cs="仿宋_GB2312"/>
          <w:spacing w:val="-118"/>
          <w:sz w:val="32"/>
          <w:szCs w:val="32"/>
          <w:u w:val="single" w:color="auto"/>
        </w:rPr>
        <w:t xml:space="preserve"> </w:t>
      </w:r>
      <w:r>
        <w:rPr>
          <w:rFonts w:hint="eastAsia" w:ascii="仿宋_GB2312" w:hAnsi="仿宋_GB2312" w:eastAsia="仿宋_GB2312" w:cs="仿宋_GB2312"/>
          <w:spacing w:val="-75"/>
          <w:sz w:val="32"/>
          <w:szCs w:val="32"/>
          <w:u w:val="single" w:color="auto"/>
        </w:rPr>
        <w:t xml:space="preserve"> </w:t>
      </w:r>
      <w:r>
        <w:rPr>
          <w:rFonts w:hint="eastAsia" w:ascii="仿宋_GB2312" w:hAnsi="仿宋_GB2312" w:eastAsia="仿宋_GB2312" w:cs="仿宋_GB2312"/>
          <w:spacing w:val="-10"/>
          <w:sz w:val="32"/>
          <w:szCs w:val="32"/>
          <w:u w:val="single" w:color="auto"/>
        </w:rPr>
        <w:t>盖章）</w:t>
      </w:r>
      <w:r>
        <w:rPr>
          <w:rFonts w:hint="eastAsia" w:ascii="仿宋_GB2312" w:hAnsi="仿宋_GB2312" w:eastAsia="仿宋_GB2312" w:cs="仿宋_GB2312"/>
          <w:sz w:val="32"/>
          <w:szCs w:val="32"/>
          <w:u w:val="single" w:color="auto"/>
        </w:rPr>
        <w:t xml:space="preserve">       </w:t>
      </w:r>
      <w:r>
        <w:rPr>
          <w:rFonts w:hint="eastAsia" w:ascii="仿宋_GB2312" w:hAnsi="仿宋_GB2312" w:eastAsia="仿宋_GB2312" w:cs="仿宋_GB2312"/>
          <w:sz w:val="32"/>
          <w:szCs w:val="32"/>
          <w:u w:val="single" w:color="auto"/>
          <w:lang w:val="en-US" w:eastAsia="zh-CN"/>
        </w:rPr>
        <w:t xml:space="preserve">     </w:t>
      </w:r>
      <w:r>
        <w:rPr>
          <w:rFonts w:hint="eastAsia" w:ascii="仿宋_GB2312" w:hAnsi="仿宋_GB2312" w:eastAsia="仿宋_GB2312" w:cs="仿宋_GB2312"/>
          <w:sz w:val="32"/>
          <w:szCs w:val="32"/>
          <w:u w:val="single" w:color="auto"/>
        </w:rPr>
        <w:t xml:space="preserve">  </w:t>
      </w:r>
    </w:p>
    <w:p>
      <w:pPr>
        <w:spacing w:before="228" w:line="222" w:lineRule="auto"/>
        <w:ind w:firstLine="4560" w:firstLineChars="1500"/>
        <w:rPr>
          <w:rFonts w:hint="eastAsia" w:ascii="仿宋_GB2312" w:hAnsi="仿宋_GB2312" w:eastAsia="仿宋_GB2312" w:cs="仿宋_GB2312"/>
          <w:sz w:val="32"/>
          <w:szCs w:val="32"/>
        </w:rPr>
      </w:pPr>
      <w:r>
        <w:rPr>
          <w:rFonts w:hint="eastAsia" w:ascii="仿宋_GB2312" w:hAnsi="仿宋_GB2312" w:eastAsia="仿宋_GB2312" w:cs="仿宋_GB2312"/>
          <w:spacing w:val="-8"/>
          <w:sz w:val="32"/>
          <w:szCs w:val="32"/>
          <w:lang w:val="en-US" w:eastAsia="zh-CN"/>
        </w:rPr>
        <w:t>2024</w:t>
      </w:r>
      <w:r>
        <w:rPr>
          <w:rFonts w:hint="eastAsia" w:ascii="仿宋_GB2312" w:hAnsi="仿宋_GB2312" w:eastAsia="仿宋_GB2312" w:cs="仿宋_GB2312"/>
          <w:spacing w:val="-8"/>
          <w:sz w:val="32"/>
          <w:szCs w:val="32"/>
        </w:rPr>
        <w:t>年</w:t>
      </w:r>
      <w:r>
        <w:rPr>
          <w:rFonts w:hint="eastAsia" w:ascii="仿宋_GB2312" w:hAnsi="仿宋_GB2312" w:eastAsia="仿宋_GB2312" w:cs="仿宋_GB2312"/>
          <w:spacing w:val="21"/>
          <w:sz w:val="32"/>
          <w:szCs w:val="32"/>
          <w:lang w:val="en-US" w:eastAsia="zh-CN"/>
        </w:rPr>
        <w:t>5</w:t>
      </w:r>
      <w:r>
        <w:rPr>
          <w:rFonts w:hint="eastAsia" w:ascii="仿宋_GB2312" w:hAnsi="仿宋_GB2312" w:eastAsia="仿宋_GB2312" w:cs="仿宋_GB2312"/>
          <w:spacing w:val="-8"/>
          <w:sz w:val="32"/>
          <w:szCs w:val="32"/>
        </w:rPr>
        <w:t>月</w:t>
      </w:r>
      <w:r>
        <w:rPr>
          <w:rFonts w:hint="eastAsia" w:ascii="仿宋_GB2312" w:hAnsi="仿宋_GB2312" w:eastAsia="仿宋_GB2312" w:cs="仿宋_GB2312"/>
          <w:spacing w:val="43"/>
          <w:sz w:val="32"/>
          <w:szCs w:val="32"/>
          <w:lang w:val="en-US" w:eastAsia="zh-CN"/>
        </w:rPr>
        <w:t>27</w:t>
      </w:r>
      <w:r>
        <w:rPr>
          <w:rFonts w:hint="eastAsia" w:ascii="仿宋_GB2312" w:hAnsi="仿宋_GB2312" w:eastAsia="仿宋_GB2312" w:cs="仿宋_GB2312"/>
          <w:spacing w:val="-8"/>
          <w:sz w:val="32"/>
          <w:szCs w:val="32"/>
        </w:rPr>
        <w:t>日</w:t>
      </w:r>
    </w:p>
    <w:p>
      <w:pPr>
        <w:spacing w:line="335" w:lineRule="auto"/>
        <w:rPr>
          <w:rFonts w:hint="eastAsia" w:ascii="仿宋_GB2312" w:hAnsi="仿宋_GB2312" w:eastAsia="仿宋_GB2312" w:cs="仿宋_GB2312"/>
          <w:sz w:val="32"/>
          <w:szCs w:val="32"/>
        </w:rPr>
      </w:pPr>
    </w:p>
    <w:p>
      <w:pPr>
        <w:pStyle w:val="4"/>
        <w:spacing w:before="102" w:line="224" w:lineRule="auto"/>
        <w:ind w:left="3216"/>
        <w:rPr>
          <w:rFonts w:hint="eastAsia" w:ascii="仿宋_GB2312" w:hAnsi="仿宋_GB2312" w:eastAsia="仿宋_GB2312" w:cs="仿宋_GB2312"/>
          <w:spacing w:val="8"/>
          <w:sz w:val="32"/>
          <w:szCs w:val="32"/>
        </w:rPr>
      </w:pPr>
      <w:r>
        <w:rPr>
          <w:rFonts w:hint="eastAsia" w:ascii="仿宋_GB2312" w:hAnsi="仿宋_GB2312" w:eastAsia="仿宋_GB2312" w:cs="仿宋_GB2312"/>
          <w:spacing w:val="8"/>
          <w:sz w:val="32"/>
          <w:szCs w:val="32"/>
        </w:rPr>
        <w:t>（此页为封面）</w:t>
      </w:r>
    </w:p>
    <w:p>
      <w:pPr>
        <w:rPr>
          <w:rFonts w:hint="eastAsia" w:ascii="仿宋_GB2312" w:hAnsi="仿宋_GB2312" w:eastAsia="仿宋_GB2312" w:cs="仿宋_GB2312"/>
          <w:spacing w:val="8"/>
          <w:sz w:val="32"/>
          <w:szCs w:val="32"/>
        </w:rPr>
      </w:pPr>
      <w:r>
        <w:rPr>
          <w:rFonts w:hint="eastAsia" w:ascii="仿宋_GB2312" w:hAnsi="仿宋_GB2312" w:eastAsia="仿宋_GB2312" w:cs="仿宋_GB2312"/>
          <w:spacing w:val="8"/>
          <w:sz w:val="32"/>
          <w:szCs w:val="32"/>
        </w:rPr>
        <w:br w:type="page"/>
      </w:r>
    </w:p>
    <w:p>
      <w:pPr>
        <w:keepNext w:val="0"/>
        <w:keepLines w:val="0"/>
        <w:pageBreakBefore w:val="0"/>
        <w:kinsoku/>
        <w:wordWrap/>
        <w:overflowPunct/>
        <w:topLinePunct w:val="0"/>
        <w:autoSpaceDE/>
        <w:autoSpaceDN/>
        <w:bidi w:val="0"/>
        <w:adjustRightInd/>
        <w:snapToGrid/>
        <w:spacing w:line="61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202</w:t>
      </w:r>
      <w:r>
        <w:rPr>
          <w:rFonts w:hint="eastAsia" w:ascii="方正小标宋简体" w:hAnsi="方正小标宋简体" w:eastAsia="方正小标宋简体" w:cs="方正小标宋简体"/>
          <w:sz w:val="44"/>
          <w:szCs w:val="44"/>
          <w:lang w:val="en-US" w:eastAsia="zh-CN"/>
        </w:rPr>
        <w:t>3</w:t>
      </w:r>
      <w:r>
        <w:rPr>
          <w:rFonts w:hint="eastAsia" w:ascii="方正小标宋简体" w:hAnsi="方正小标宋简体" w:eastAsia="方正小标宋简体" w:cs="方正小标宋简体"/>
          <w:sz w:val="44"/>
          <w:szCs w:val="44"/>
        </w:rPr>
        <w:t>年度</w:t>
      </w:r>
      <w:r>
        <w:rPr>
          <w:rFonts w:hint="eastAsia" w:ascii="方正小标宋简体" w:hAnsi="方正小标宋简体" w:eastAsia="方正小标宋简体" w:cs="方正小标宋简体"/>
          <w:sz w:val="44"/>
          <w:szCs w:val="44"/>
          <w:lang w:eastAsia="zh-CN"/>
        </w:rPr>
        <w:t>梅田湖镇人民政府项目</w:t>
      </w:r>
      <w:r>
        <w:rPr>
          <w:rFonts w:hint="eastAsia" w:ascii="方正小标宋简体" w:hAnsi="方正小标宋简体" w:eastAsia="方正小标宋简体" w:cs="方正小标宋简体"/>
          <w:sz w:val="44"/>
          <w:szCs w:val="44"/>
        </w:rPr>
        <w:t>支出</w:t>
      </w:r>
    </w:p>
    <w:p>
      <w:pPr>
        <w:keepNext w:val="0"/>
        <w:keepLines w:val="0"/>
        <w:pageBreakBefore w:val="0"/>
        <w:kinsoku/>
        <w:wordWrap/>
        <w:overflowPunct/>
        <w:topLinePunct w:val="0"/>
        <w:autoSpaceDE/>
        <w:autoSpaceDN/>
        <w:bidi w:val="0"/>
        <w:adjustRightInd/>
        <w:snapToGrid/>
        <w:spacing w:line="610" w:lineRule="exact"/>
        <w:jc w:val="center"/>
        <w:textAlignment w:val="auto"/>
        <w:rPr>
          <w:rFonts w:hint="default" w:ascii="Times New Roman" w:hAnsi="Times New Roman" w:eastAsia="仿宋_GB2312" w:cs="Times New Roman"/>
          <w:sz w:val="32"/>
          <w:szCs w:val="32"/>
        </w:rPr>
      </w:pPr>
      <w:r>
        <w:rPr>
          <w:rFonts w:hint="eastAsia" w:ascii="方正小标宋简体" w:hAnsi="方正小标宋简体" w:eastAsia="方正小标宋简体" w:cs="方正小标宋简体"/>
          <w:sz w:val="44"/>
          <w:szCs w:val="44"/>
        </w:rPr>
        <w:t>绩效自评报告</w:t>
      </w:r>
    </w:p>
    <w:p>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黑体" w:hAnsi="黑体" w:eastAsia="黑体" w:cs="黑体"/>
          <w:sz w:val="30"/>
          <w:szCs w:val="30"/>
        </w:rPr>
      </w:pP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一、基本情况</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一</w:t>
      </w:r>
      <w:r>
        <w:rPr>
          <w:rFonts w:hint="eastAsia" w:eastAsia="仿宋_GB2312"/>
          <w:sz w:val="32"/>
          <w:szCs w:val="32"/>
          <w:lang w:eastAsia="zh-CN"/>
        </w:rPr>
        <w:t>）</w:t>
      </w:r>
      <w:r>
        <w:rPr>
          <w:rFonts w:hint="eastAsia" w:eastAsia="仿宋_GB2312"/>
          <w:sz w:val="32"/>
          <w:szCs w:val="32"/>
        </w:rPr>
        <w:t>项目概况。</w:t>
      </w:r>
    </w:p>
    <w:p>
      <w:pPr>
        <w:keepNext w:val="0"/>
        <w:keepLines w:val="0"/>
        <w:pageBreakBefore w:val="0"/>
        <w:widowControl w:val="0"/>
        <w:numPr>
          <w:ilvl w:val="0"/>
          <w:numId w:val="0"/>
        </w:numPr>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2023年度我单位项目支出1617万元，业务工作经费支出1617万元，项目支出主要用于梅田湖镇村级、镇级基础设施建设、社会就业保障和就业、农村特困人员救助、梅田湖敬老院维修等方面。</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主要项目情况如下：</w:t>
      </w:r>
    </w:p>
    <w:p>
      <w:pPr>
        <w:keepNext w:val="0"/>
        <w:keepLines w:val="0"/>
        <w:pageBreakBefore w:val="0"/>
        <w:widowControl w:val="0"/>
        <w:numPr>
          <w:ilvl w:val="0"/>
          <w:numId w:val="0"/>
        </w:numPr>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1、梅田湖镇级三通公路工程</w:t>
      </w:r>
    </w:p>
    <w:p>
      <w:pPr>
        <w:keepNext w:val="0"/>
        <w:keepLines w:val="0"/>
        <w:pageBreakBefore w:val="0"/>
        <w:widowControl w:val="0"/>
        <w:numPr>
          <w:numId w:val="0"/>
        </w:numPr>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项目名称：华容县梅田湖镇级三通公路工程</w:t>
      </w:r>
    </w:p>
    <w:p>
      <w:pPr>
        <w:keepNext w:val="0"/>
        <w:keepLines w:val="0"/>
        <w:pageBreakBefore w:val="0"/>
        <w:widowControl w:val="0"/>
        <w:numPr>
          <w:numId w:val="0"/>
        </w:numPr>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项目地点:工程项目位于梅田湖镇，老路起于X802线上，终点止于梅田湖镇大桥接线。</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项目内容：对现有水泥砼路面进行病害处理及加宽铺罩面进行白改黑，新建部分道路，加装护栏，安装单柱式铝合金标志牌，布置路面标线，新建钢筋混凝土圆管涵等工程。</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项目主体：梅田湖镇人民政府</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施工单位：湖南十九建设有责任公司</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项目资金：305万</w:t>
      </w:r>
    </w:p>
    <w:p>
      <w:pPr>
        <w:pStyle w:val="2"/>
        <w:keepNext w:val="0"/>
        <w:keepLines w:val="0"/>
        <w:pageBreakBefore w:val="0"/>
        <w:widowControl w:val="0"/>
        <w:numPr>
          <w:ilvl w:val="0"/>
          <w:numId w:val="1"/>
        </w:numPr>
        <w:kinsoku/>
        <w:wordWrap/>
        <w:overflowPunct/>
        <w:topLinePunct w:val="0"/>
        <w:autoSpaceDE/>
        <w:autoSpaceDN/>
        <w:bidi w:val="0"/>
        <w:adjustRightInd/>
        <w:snapToGrid w:val="0"/>
        <w:spacing w:line="640" w:lineRule="exact"/>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梅田湖敬老院东福分院新建宿舍工程</w:t>
      </w:r>
    </w:p>
    <w:p>
      <w:pPr>
        <w:pStyle w:val="2"/>
        <w:keepNext w:val="0"/>
        <w:keepLines w:val="0"/>
        <w:pageBreakBefore w:val="0"/>
        <w:widowControl w:val="0"/>
        <w:numPr>
          <w:numId w:val="0"/>
        </w:numPr>
        <w:kinsoku/>
        <w:wordWrap/>
        <w:overflowPunct/>
        <w:topLinePunct w:val="0"/>
        <w:autoSpaceDE/>
        <w:autoSpaceDN/>
        <w:bidi w:val="0"/>
        <w:adjustRightInd/>
        <w:snapToGrid w:val="0"/>
        <w:spacing w:line="640" w:lineRule="exact"/>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项目名称：梅田湖敬老院东福分院新建宿舍工程</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项目地点：梅田湖镇金鸡村</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项目内容：拆除院内旧楼房，在拆除位置新建宿舍8间，门卫室、硬化草坪、搭建走廊雨棚。</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项目主体：梅田湖敬老院东福分院</w:t>
      </w:r>
    </w:p>
    <w:p>
      <w:pPr>
        <w:keepNext w:val="0"/>
        <w:keepLines w:val="0"/>
        <w:pageBreakBefore w:val="0"/>
        <w:widowControl w:val="0"/>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施工单位：华容县章华建筑工程有限公司</w:t>
      </w:r>
    </w:p>
    <w:p>
      <w:pPr>
        <w:numPr>
          <w:numId w:val="0"/>
        </w:numPr>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 xml:space="preserve">    项目资金：100万</w:t>
      </w:r>
    </w:p>
    <w:p>
      <w:pPr>
        <w:keepNext w:val="0"/>
        <w:keepLines w:val="0"/>
        <w:pageBreakBefore w:val="0"/>
        <w:widowControl w:val="0"/>
        <w:numPr>
          <w:ilvl w:val="0"/>
          <w:numId w:val="2"/>
        </w:numPr>
        <w:kinsoku/>
        <w:wordWrap/>
        <w:overflowPunct/>
        <w:topLinePunct w:val="0"/>
        <w:autoSpaceDE/>
        <w:autoSpaceDN/>
        <w:bidi w:val="0"/>
        <w:adjustRightInd/>
        <w:snapToGrid/>
        <w:spacing w:line="240" w:lineRule="auto"/>
        <w:ind w:firstLine="640" w:firstLineChars="200"/>
        <w:textAlignment w:val="auto"/>
        <w:rPr>
          <w:rFonts w:hint="eastAsia" w:eastAsia="仿宋_GB2312"/>
          <w:sz w:val="32"/>
          <w:szCs w:val="32"/>
        </w:rPr>
      </w:pPr>
      <w:r>
        <w:rPr>
          <w:rFonts w:hint="eastAsia" w:eastAsia="仿宋_GB2312"/>
          <w:sz w:val="32"/>
          <w:szCs w:val="32"/>
        </w:rPr>
        <w:t>项目绩效目标。包括总体目标和阶段性目标。</w:t>
      </w:r>
    </w:p>
    <w:p>
      <w:pPr>
        <w:keepNext w:val="0"/>
        <w:keepLines w:val="0"/>
        <w:pageBreakBefore w:val="0"/>
        <w:widowControl w:val="0"/>
        <w:numPr>
          <w:ilvl w:val="0"/>
          <w:numId w:val="3"/>
        </w:numPr>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总体目标:通过项目支出，旨在达到生态环境向好发展、产业发展、乡村振兴不断推进、社会大局安全稳定。</w:t>
      </w:r>
    </w:p>
    <w:p>
      <w:pPr>
        <w:keepNext w:val="0"/>
        <w:keepLines w:val="0"/>
        <w:pageBreakBefore w:val="0"/>
        <w:widowControl w:val="0"/>
        <w:numPr>
          <w:numId w:val="0"/>
        </w:numPr>
        <w:kinsoku/>
        <w:wordWrap/>
        <w:overflowPunct/>
        <w:topLinePunct w:val="0"/>
        <w:autoSpaceDE/>
        <w:autoSpaceDN/>
        <w:bidi w:val="0"/>
        <w:adjustRightInd/>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2、阶段性目标：通过项目支出，完善镇村两级基础设施建设，特困人员生活得到保障，乡村振兴政策落地生效，</w:t>
      </w:r>
      <w:r>
        <w:rPr>
          <w:rFonts w:hint="eastAsia" w:ascii="仿宋" w:hAnsi="仿宋" w:eastAsia="仿宋" w:cs="仿宋"/>
          <w:kern w:val="2"/>
          <w:sz w:val="32"/>
          <w:szCs w:val="32"/>
          <w:lang w:val="en-US" w:eastAsia="zh-CN" w:bidi="ar-SA"/>
        </w:rPr>
        <w:t>梅田湖镇级三通公路工程和梅田湖敬老院东福分院新建宿舍工程得到有效建设。</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二、绩效评价工作开展情况</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一</w:t>
      </w:r>
      <w:r>
        <w:rPr>
          <w:rFonts w:hint="eastAsia" w:eastAsia="仿宋_GB2312"/>
          <w:sz w:val="32"/>
          <w:szCs w:val="32"/>
          <w:lang w:eastAsia="zh-CN"/>
        </w:rPr>
        <w:t>）</w:t>
      </w:r>
      <w:r>
        <w:rPr>
          <w:rFonts w:hint="eastAsia" w:eastAsia="仿宋_GB2312"/>
          <w:sz w:val="32"/>
          <w:szCs w:val="32"/>
        </w:rPr>
        <w:t>绩效评价目的、对象和范围。</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绩效评价目的在于加强预算绩效管理，强化支出责任，建立科学、合理的财政支出绩效评价管理体系，提高财政资金的使用效益。</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绩效评价的对象和范围是针对梅田湖镇人民政府2023年项目支出1617万元。</w:t>
      </w:r>
    </w:p>
    <w:p>
      <w:pPr>
        <w:keepNext w:val="0"/>
        <w:keepLines w:val="0"/>
        <w:pageBreakBefore w:val="0"/>
        <w:numPr>
          <w:ilvl w:val="0"/>
          <w:numId w:val="2"/>
        </w:numPr>
        <w:kinsoku/>
        <w:wordWrap/>
        <w:overflowPunct/>
        <w:topLinePunct w:val="0"/>
        <w:autoSpaceDE/>
        <w:autoSpaceDN/>
        <w:bidi w:val="0"/>
        <w:adjustRightInd/>
        <w:snapToGrid/>
        <w:spacing w:line="610" w:lineRule="exact"/>
        <w:ind w:left="0" w:leftChars="0" w:firstLine="640" w:firstLineChars="200"/>
        <w:textAlignment w:val="auto"/>
        <w:rPr>
          <w:rFonts w:hint="eastAsia" w:eastAsia="仿宋_GB2312"/>
          <w:sz w:val="32"/>
          <w:szCs w:val="32"/>
        </w:rPr>
      </w:pPr>
      <w:r>
        <w:rPr>
          <w:rFonts w:hint="eastAsia" w:eastAsia="仿宋_GB2312"/>
          <w:sz w:val="32"/>
          <w:szCs w:val="32"/>
        </w:rPr>
        <w:t>绩效评价原则、评价指标体系</w:t>
      </w:r>
      <w:r>
        <w:rPr>
          <w:rFonts w:hint="eastAsia" w:eastAsia="仿宋_GB2312"/>
          <w:sz w:val="32"/>
          <w:szCs w:val="32"/>
          <w:lang w:eastAsia="zh-CN"/>
        </w:rPr>
        <w:t>（</w:t>
      </w:r>
      <w:r>
        <w:rPr>
          <w:rFonts w:hint="eastAsia" w:eastAsia="仿宋_GB2312"/>
          <w:sz w:val="32"/>
          <w:szCs w:val="32"/>
        </w:rPr>
        <w:t>附表说明</w:t>
      </w:r>
      <w:r>
        <w:rPr>
          <w:rFonts w:hint="eastAsia" w:eastAsia="仿宋_GB2312"/>
          <w:sz w:val="32"/>
          <w:szCs w:val="32"/>
          <w:lang w:eastAsia="zh-CN"/>
        </w:rPr>
        <w:t>）</w:t>
      </w:r>
      <w:r>
        <w:rPr>
          <w:rFonts w:hint="eastAsia" w:eastAsia="仿宋_GB2312"/>
          <w:sz w:val="32"/>
          <w:szCs w:val="32"/>
        </w:rPr>
        <w:t>、评价方法、评价标准等。</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rPr>
        <w:t>1、</w:t>
      </w:r>
      <w:r>
        <w:rPr>
          <w:rFonts w:hint="eastAsia" w:ascii="仿宋" w:hAnsi="仿宋" w:eastAsia="仿宋" w:cs="仿宋"/>
          <w:sz w:val="32"/>
          <w:szCs w:val="32"/>
          <w:lang w:val="en-US" w:eastAsia="zh-CN"/>
        </w:rPr>
        <w:t>绩效评价原则：本次项目绩效评价坚持公平、公正、公开原则，以事实为客观依据，定量与定性相结合的考核标准，采取进度、质量、成本以及客户满意度等相结合的原则。</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2、绩效评价指标体系。评价主体应当按照相关性、重要性、可比性、系统性、经济性原则，就项目决策、项目管理、项目绩效（产出、效果）等方面全面设定评价体系。</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3、绩效评价方法拟采用定性和定量分析相结合、书面评价和实地评价相结合的方法，严格按照财政支出绩效评价的“科学公正、统筹兼顾、激励约束、公开透明”的原则，根据具体评价指标的不同，灵活运用成本效益分析法、比较法、因素分析法、公众评判法等绩效评价具体方法，对项目作出综合性评价意见。</w:t>
      </w:r>
    </w:p>
    <w:p>
      <w:pPr>
        <w:keepNext w:val="0"/>
        <w:keepLines w:val="0"/>
        <w:pageBreakBefore w:val="0"/>
        <w:numPr>
          <w:ilvl w:val="0"/>
          <w:numId w:val="2"/>
        </w:numPr>
        <w:kinsoku/>
        <w:wordWrap/>
        <w:overflowPunct/>
        <w:topLinePunct w:val="0"/>
        <w:autoSpaceDE/>
        <w:autoSpaceDN/>
        <w:bidi w:val="0"/>
        <w:adjustRightInd/>
        <w:snapToGrid/>
        <w:spacing w:line="610" w:lineRule="exact"/>
        <w:ind w:left="0" w:leftChars="0" w:firstLine="640" w:firstLineChars="200"/>
        <w:textAlignment w:val="auto"/>
        <w:rPr>
          <w:rFonts w:hint="eastAsia" w:eastAsia="仿宋_GB2312"/>
          <w:sz w:val="32"/>
          <w:szCs w:val="32"/>
        </w:rPr>
      </w:pPr>
      <w:r>
        <w:rPr>
          <w:rFonts w:hint="eastAsia" w:eastAsia="仿宋_GB2312"/>
          <w:sz w:val="32"/>
          <w:szCs w:val="32"/>
        </w:rPr>
        <w:t>绩效评价工作过程。</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根据要求，本次评价主要包括前期准备、组织实施、分析评价、提交报告等阶段。通过现场勘查、核实情况、查看相关资料等方式，对工作成效进行核查、核实。</w:t>
      </w:r>
    </w:p>
    <w:p>
      <w:pPr>
        <w:pStyle w:val="2"/>
        <w:numPr>
          <w:numId w:val="0"/>
        </w:numPr>
        <w:rPr>
          <w:rFonts w:hint="eastAsia"/>
        </w:rPr>
      </w:pPr>
    </w:p>
    <w:p>
      <w:pPr>
        <w:keepNext w:val="0"/>
        <w:keepLines w:val="0"/>
        <w:pageBreakBefore w:val="0"/>
        <w:widowControl w:val="0"/>
        <w:numPr>
          <w:ilvl w:val="0"/>
          <w:numId w:val="4"/>
        </w:numPr>
        <w:kinsoku/>
        <w:wordWrap/>
        <w:overflowPunct/>
        <w:topLinePunct w:val="0"/>
        <w:autoSpaceDE/>
        <w:autoSpaceDN/>
        <w:bidi w:val="0"/>
        <w:adjustRightInd/>
        <w:snapToGrid/>
        <w:spacing w:line="240" w:lineRule="auto"/>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 xml:space="preserve">综合评价情况及评价结论 </w:t>
      </w:r>
    </w:p>
    <w:p>
      <w:pPr>
        <w:pStyle w:val="2"/>
        <w:keepNext w:val="0"/>
        <w:keepLines w:val="0"/>
        <w:pageBreakBefore w:val="0"/>
        <w:widowControl w:val="0"/>
        <w:numPr>
          <w:numId w:val="0"/>
        </w:numPr>
        <w:kinsoku/>
        <w:wordWrap/>
        <w:overflowPunct/>
        <w:topLinePunct w:val="0"/>
        <w:autoSpaceDE/>
        <w:autoSpaceDN/>
        <w:bidi w:val="0"/>
        <w:adjustRightInd/>
        <w:snapToGrid w:val="0"/>
        <w:spacing w:line="560" w:lineRule="exact"/>
        <w:ind w:firstLine="640" w:firstLineChars="200"/>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 总体得分98分，项目政策科学、合理、可行，项目实际运行规范有效，项目实施达到预期目标。总格考核等级为优秀。</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四、绩效评价指标分析</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lang w:eastAsia="zh-CN"/>
        </w:rPr>
      </w:pPr>
      <w:r>
        <w:rPr>
          <w:rFonts w:hint="eastAsia" w:eastAsia="仿宋_GB2312"/>
          <w:sz w:val="32"/>
          <w:szCs w:val="32"/>
          <w:lang w:eastAsia="zh-CN"/>
        </w:rPr>
        <w:t>（一）项目决策情况</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lang w:eastAsia="zh-CN"/>
        </w:rPr>
      </w:pPr>
      <w:r>
        <w:rPr>
          <w:rFonts w:hint="eastAsia" w:ascii="仿宋" w:hAnsi="仿宋" w:eastAsia="仿宋" w:cs="仿宋"/>
          <w:sz w:val="32"/>
          <w:szCs w:val="32"/>
          <w:lang w:eastAsia="zh-CN"/>
        </w:rPr>
        <w:t>决策指标体系得分30分，其中：1、项目立项得分10分。绩效项目立项规范。按规定程序提交申请，材料充分、完整。2、绩效目标得分10分。绩效目标设置合理，与项目年度工作任务相对应。3、资金投入得分10分，项目预算编制科学，资金分配合理。</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lang w:eastAsia="zh-CN"/>
        </w:rPr>
      </w:pPr>
      <w:r>
        <w:rPr>
          <w:rFonts w:hint="eastAsia" w:eastAsia="仿宋_GB2312"/>
          <w:sz w:val="32"/>
          <w:szCs w:val="32"/>
          <w:lang w:eastAsia="zh-CN"/>
        </w:rPr>
        <w:t>（二）项目过程情况</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仿宋" w:hAnsi="仿宋" w:eastAsia="仿宋" w:cs="仿宋"/>
          <w:sz w:val="32"/>
          <w:szCs w:val="32"/>
          <w:lang w:eastAsia="zh-CN"/>
        </w:rPr>
      </w:pPr>
      <w:r>
        <w:rPr>
          <w:rFonts w:hint="eastAsia" w:eastAsia="仿宋_GB2312"/>
          <w:sz w:val="32"/>
          <w:szCs w:val="32"/>
          <w:lang w:eastAsia="zh-CN"/>
        </w:rPr>
        <w:t>  </w:t>
      </w:r>
      <w:r>
        <w:rPr>
          <w:rFonts w:hint="eastAsia" w:ascii="仿宋" w:hAnsi="仿宋" w:eastAsia="仿宋" w:cs="仿宋"/>
          <w:sz w:val="32"/>
          <w:szCs w:val="32"/>
          <w:lang w:eastAsia="zh-CN"/>
        </w:rPr>
        <w:t>  过程指标体系得分20分，其中：1、资金管理得分10分。资金到位率100%，执行率100%。资金使用合规合理。2、组织实施得分10分。项目管理制度健全，财务和业务管理制度合法、合规、完整。</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lang w:eastAsia="zh-CN"/>
        </w:rPr>
      </w:pPr>
      <w:r>
        <w:rPr>
          <w:rFonts w:hint="eastAsia" w:eastAsia="仿宋_GB2312"/>
          <w:sz w:val="32"/>
          <w:szCs w:val="32"/>
          <w:lang w:eastAsia="zh-CN"/>
        </w:rPr>
        <w:t>（三）项目产出情况</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lang w:eastAsia="zh-CN"/>
        </w:rPr>
      </w:pPr>
      <w:r>
        <w:rPr>
          <w:rFonts w:hint="eastAsia" w:ascii="仿宋" w:hAnsi="仿宋" w:eastAsia="仿宋" w:cs="仿宋"/>
          <w:sz w:val="32"/>
          <w:szCs w:val="32"/>
          <w:lang w:eastAsia="zh-CN"/>
        </w:rPr>
        <w:t>产出指标体系得分20分。其中：1、产出质量得分10分。产出实际完成率和质量达标率都达到100%。项目能按时完成计划产量且成本节约率为100%。</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lang w:eastAsia="zh-CN"/>
        </w:rPr>
      </w:pPr>
      <w:r>
        <w:rPr>
          <w:rFonts w:hint="eastAsia" w:eastAsia="仿宋_GB2312"/>
          <w:sz w:val="32"/>
          <w:szCs w:val="32"/>
          <w:lang w:eastAsia="zh-CN"/>
        </w:rPr>
        <w:t>（四）项目效益情况</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lang w:eastAsia="zh-CN"/>
        </w:rPr>
      </w:pPr>
      <w:r>
        <w:rPr>
          <w:rFonts w:hint="eastAsia" w:ascii="仿宋" w:hAnsi="仿宋" w:eastAsia="仿宋" w:cs="仿宋"/>
          <w:sz w:val="32"/>
          <w:szCs w:val="32"/>
          <w:lang w:eastAsia="zh-CN"/>
        </w:rPr>
        <w:t>效益指标体系得分2</w:t>
      </w:r>
      <w:r>
        <w:rPr>
          <w:rFonts w:hint="eastAsia" w:ascii="仿宋" w:hAnsi="仿宋" w:eastAsia="仿宋" w:cs="仿宋"/>
          <w:sz w:val="32"/>
          <w:szCs w:val="32"/>
          <w:lang w:val="en-US" w:eastAsia="zh-CN"/>
        </w:rPr>
        <w:t>8</w:t>
      </w:r>
      <w:r>
        <w:rPr>
          <w:rFonts w:hint="eastAsia" w:ascii="仿宋" w:hAnsi="仿宋" w:eastAsia="仿宋" w:cs="仿宋"/>
          <w:sz w:val="32"/>
          <w:szCs w:val="32"/>
          <w:lang w:eastAsia="zh-CN"/>
        </w:rPr>
        <w:t>分。项目所产生的社会效益等比较明显，且社会满意度达到</w:t>
      </w:r>
      <w:r>
        <w:rPr>
          <w:rFonts w:hint="eastAsia" w:ascii="仿宋" w:hAnsi="仿宋" w:eastAsia="仿宋" w:cs="仿宋"/>
          <w:sz w:val="32"/>
          <w:szCs w:val="32"/>
          <w:lang w:val="en-US" w:eastAsia="zh-CN"/>
        </w:rPr>
        <w:t>100</w:t>
      </w:r>
      <w:r>
        <w:rPr>
          <w:rFonts w:hint="eastAsia" w:ascii="仿宋" w:hAnsi="仿宋" w:eastAsia="仿宋" w:cs="仿宋"/>
          <w:sz w:val="32"/>
          <w:szCs w:val="32"/>
          <w:lang w:eastAsia="zh-CN"/>
        </w:rPr>
        <w:t>%。</w:t>
      </w:r>
    </w:p>
    <w:p>
      <w:pPr>
        <w:keepNext w:val="0"/>
        <w:keepLines w:val="0"/>
        <w:pageBreakBefore w:val="0"/>
        <w:numPr>
          <w:ilvl w:val="0"/>
          <w:numId w:val="4"/>
        </w:numPr>
        <w:kinsoku/>
        <w:wordWrap/>
        <w:overflowPunct/>
        <w:topLinePunct w:val="0"/>
        <w:autoSpaceDE/>
        <w:autoSpaceDN/>
        <w:bidi w:val="0"/>
        <w:adjustRightInd/>
        <w:snapToGrid/>
        <w:spacing w:line="610" w:lineRule="exact"/>
        <w:ind w:left="0" w:leftChars="0"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主要经验及做法、存在的问题及原因分析</w:t>
      </w:r>
    </w:p>
    <w:p>
      <w:pPr>
        <w:pStyle w:val="2"/>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 w:hAnsi="仿宋" w:eastAsia="仿宋" w:cs="仿宋"/>
          <w:i w:val="0"/>
          <w:iCs w:val="0"/>
          <w:caps w:val="0"/>
          <w:color w:val="000000"/>
          <w:spacing w:val="0"/>
          <w:kern w:val="0"/>
          <w:sz w:val="32"/>
          <w:szCs w:val="32"/>
          <w:shd w:val="clear" w:fill="FFFFFF"/>
          <w:lang w:val="en-US" w:eastAsia="zh-CN" w:bidi="ar"/>
        </w:rPr>
      </w:pPr>
      <w:r>
        <w:rPr>
          <w:rFonts w:hint="eastAsia" w:ascii="仿宋" w:hAnsi="仿宋" w:eastAsia="仿宋" w:cs="仿宋"/>
          <w:i w:val="0"/>
          <w:iCs w:val="0"/>
          <w:caps w:val="0"/>
          <w:color w:val="000000"/>
          <w:spacing w:val="0"/>
          <w:kern w:val="0"/>
          <w:sz w:val="32"/>
          <w:szCs w:val="32"/>
          <w:shd w:val="clear" w:fill="FFFFFF"/>
          <w:lang w:val="en-US" w:eastAsia="zh-CN" w:bidi="ar"/>
        </w:rPr>
        <w:t>本次部门整体支出绩效评价总体情况较好，单位预算编制及时、准确，预算执行情况较好，财务管理制度较为健全，资金使用较为规范，能严格地执行各项财政纪律等，但是也存在一些问题，主要是预算编制的准确性有待进一步提高、编制的绩效目标需要细化量化、会计核算的规范性需要进一步提高等。</w:t>
      </w:r>
    </w:p>
    <w:p>
      <w:pPr>
        <w:pStyle w:val="7"/>
        <w:keepNext w:val="0"/>
        <w:keepLines w:val="0"/>
        <w:widowControl/>
        <w:suppressLineNumbers w:val="0"/>
        <w:shd w:val="clear" w:fill="FFFFFF"/>
        <w:spacing w:before="210" w:beforeAutospacing="0" w:after="210" w:afterAutospacing="0" w:line="360" w:lineRule="atLeast"/>
        <w:ind w:left="0" w:right="0" w:firstLine="420"/>
        <w:jc w:val="left"/>
        <w:rPr>
          <w:rFonts w:hint="eastAsia" w:ascii="仿宋" w:hAnsi="仿宋" w:eastAsia="仿宋" w:cs="仿宋"/>
          <w:i w:val="0"/>
          <w:iCs w:val="0"/>
          <w:caps w:val="0"/>
          <w:color w:val="000000"/>
          <w:spacing w:val="0"/>
          <w:sz w:val="32"/>
          <w:szCs w:val="32"/>
          <w:shd w:val="clear" w:fill="FFFFFF"/>
        </w:rPr>
      </w:pPr>
      <w:r>
        <w:rPr>
          <w:rFonts w:hint="eastAsia" w:ascii="仿宋" w:hAnsi="仿宋" w:eastAsia="仿宋" w:cs="仿宋"/>
          <w:i w:val="0"/>
          <w:iCs w:val="0"/>
          <w:caps w:val="0"/>
          <w:color w:val="000000"/>
          <w:spacing w:val="0"/>
          <w:sz w:val="32"/>
          <w:szCs w:val="32"/>
          <w:shd w:val="clear" w:fill="FFFFFF"/>
        </w:rPr>
        <w:t>建立健全绩效预算管理机制。一是加强预算绩效管理工作的政策宣传，让“花钱必问效，无效必问责”的理念深入人心，努力提高对绩效管理工作重要性的认识。二是进一步完善我县预算绩效管理制度建设，促进提高预算绩效管理工作的规范性和有效性。</w:t>
      </w:r>
    </w:p>
    <w:p>
      <w:pPr>
        <w:pStyle w:val="7"/>
        <w:keepNext w:val="0"/>
        <w:keepLines w:val="0"/>
        <w:widowControl/>
        <w:suppressLineNumbers w:val="0"/>
        <w:shd w:val="clear" w:fill="FFFFFF"/>
        <w:spacing w:before="210" w:beforeAutospacing="0" w:after="210" w:afterAutospacing="0" w:line="360" w:lineRule="atLeast"/>
        <w:ind w:left="0" w:right="0" w:firstLine="420"/>
        <w:jc w:val="left"/>
        <w:rPr>
          <w:rFonts w:hint="eastAsia"/>
        </w:rPr>
      </w:pPr>
      <w:r>
        <w:rPr>
          <w:rFonts w:hint="eastAsia" w:ascii="仿宋" w:hAnsi="仿宋" w:eastAsia="仿宋" w:cs="仿宋"/>
          <w:i w:val="0"/>
          <w:iCs w:val="0"/>
          <w:caps w:val="0"/>
          <w:color w:val="000000"/>
          <w:spacing w:val="0"/>
          <w:sz w:val="32"/>
          <w:szCs w:val="32"/>
          <w:shd w:val="clear" w:fill="FFFFFF"/>
        </w:rPr>
        <w:t>绩效评价是一项长期、复杂的工作，覆盖面广，工作量大，技术性强，要充分利用现代信息化技术，加快预算一体化系统建设，完善绩效项目库、指标体系建设等，通过信息系统获取绩效管理数据，加强预算绩效分析研判，为绩效管理工作提供技术支撑，以提高绩效评价结果的科学性，促进绩效信息公开共享</w:t>
      </w:r>
      <w:bookmarkStart w:id="0" w:name="_GoBack"/>
      <w:bookmarkEnd w:id="0"/>
      <w:r>
        <w:rPr>
          <w:rFonts w:hint="eastAsia" w:ascii="仿宋" w:hAnsi="仿宋" w:eastAsia="仿宋" w:cs="仿宋"/>
          <w:i w:val="0"/>
          <w:iCs w:val="0"/>
          <w:caps w:val="0"/>
          <w:color w:val="000000"/>
          <w:spacing w:val="0"/>
          <w:sz w:val="32"/>
          <w:szCs w:val="32"/>
          <w:shd w:val="clear" w:fill="FFFFFF"/>
        </w:rPr>
        <w:t>。</w:t>
      </w:r>
    </w:p>
    <w:p>
      <w:pPr>
        <w:keepNext w:val="0"/>
        <w:keepLines w:val="0"/>
        <w:pageBreakBefore w:val="0"/>
        <w:widowControl/>
        <w:kinsoku/>
        <w:wordWrap/>
        <w:overflowPunct/>
        <w:topLinePunct w:val="0"/>
        <w:autoSpaceDE/>
        <w:autoSpaceDN/>
        <w:bidi w:val="0"/>
        <w:adjustRightInd/>
        <w:snapToGrid/>
        <w:spacing w:line="610" w:lineRule="exact"/>
        <w:ind w:firstLine="640" w:firstLineChars="200"/>
        <w:jc w:val="both"/>
        <w:textAlignment w:val="auto"/>
        <w:rPr>
          <w:rFonts w:hint="eastAsia" w:ascii="黑体" w:hAnsi="黑体" w:eastAsia="黑体" w:cs="黑体"/>
          <w:sz w:val="32"/>
          <w:szCs w:val="32"/>
        </w:rPr>
      </w:pPr>
      <w:r>
        <w:rPr>
          <w:rFonts w:hint="eastAsia" w:ascii="黑体" w:hAnsi="黑体" w:eastAsia="黑体" w:cs="黑体"/>
          <w:sz w:val="32"/>
          <w:szCs w:val="32"/>
          <w:lang w:eastAsia="zh-CN"/>
        </w:rPr>
        <w:t>六</w:t>
      </w:r>
      <w:r>
        <w:rPr>
          <w:rFonts w:hint="eastAsia" w:ascii="黑体" w:hAnsi="黑体" w:eastAsia="黑体" w:cs="黑体"/>
          <w:sz w:val="32"/>
          <w:szCs w:val="32"/>
        </w:rPr>
        <w:t>、其他需要说明的问题</w:t>
      </w:r>
    </w:p>
    <w:p>
      <w:pPr>
        <w:ind w:firstLine="600" w:firstLineChars="200"/>
        <w:rPr>
          <w:rFonts w:hint="eastAsia" w:ascii="仿宋" w:hAnsi="仿宋" w:eastAsia="仿宋" w:cs="仿宋"/>
          <w:sz w:val="30"/>
          <w:szCs w:val="30"/>
          <w:lang w:eastAsia="zh-CN"/>
        </w:rPr>
      </w:pPr>
      <w:r>
        <w:rPr>
          <w:rFonts w:hint="eastAsia" w:ascii="仿宋" w:hAnsi="仿宋" w:eastAsia="仿宋" w:cs="仿宋"/>
          <w:sz w:val="30"/>
          <w:szCs w:val="30"/>
          <w:lang w:eastAsia="zh-CN"/>
        </w:rPr>
        <w:t>无相关情况说明</w:t>
      </w:r>
    </w:p>
    <w:p>
      <w:pPr>
        <w:spacing w:before="181" w:line="171" w:lineRule="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rPr>
        <w:t>附件</w:t>
      </w:r>
      <w:r>
        <w:rPr>
          <w:rFonts w:hint="eastAsia" w:ascii="仿宋_GB2312" w:hAnsi="仿宋_GB2312" w:eastAsia="仿宋_GB2312" w:cs="仿宋_GB2312"/>
          <w:sz w:val="32"/>
          <w:szCs w:val="32"/>
          <w:lang w:val="en-US" w:eastAsia="zh-CN"/>
        </w:rPr>
        <w:t>6</w:t>
      </w:r>
    </w:p>
    <w:p>
      <w:pPr>
        <w:keepNext w:val="0"/>
        <w:keepLines w:val="0"/>
        <w:pageBreakBefore w:val="0"/>
        <w:widowControl w:val="0"/>
        <w:kinsoku/>
        <w:wordWrap/>
        <w:overflowPunct/>
        <w:topLinePunct w:val="0"/>
        <w:autoSpaceDE/>
        <w:autoSpaceDN/>
        <w:bidi w:val="0"/>
        <w:adjustRightInd/>
        <w:snapToGrid/>
        <w:spacing w:after="158" w:afterLines="50" w:line="580" w:lineRule="exact"/>
        <w:ind w:left="0"/>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pacing w:val="7"/>
          <w:sz w:val="44"/>
          <w:szCs w:val="44"/>
        </w:rPr>
        <w:t>2023年度项目支出绩效自评表</w:t>
      </w:r>
    </w:p>
    <w:tbl>
      <w:tblPr>
        <w:tblStyle w:val="15"/>
        <w:tblW w:w="5065"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96"/>
        <w:gridCol w:w="896"/>
        <w:gridCol w:w="1127"/>
        <w:gridCol w:w="938"/>
        <w:gridCol w:w="993"/>
        <w:gridCol w:w="1141"/>
        <w:gridCol w:w="591"/>
        <w:gridCol w:w="696"/>
        <w:gridCol w:w="134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1694" w:type="pct"/>
            <w:gridSpan w:val="3"/>
            <w:vAlign w:val="center"/>
          </w:tcPr>
          <w:p>
            <w:pPr>
              <w:jc w:val="center"/>
              <w:rPr>
                <w:rFonts w:hint="eastAsia" w:ascii="黑体" w:hAnsi="黑体" w:eastAsia="黑体" w:cs="黑体"/>
                <w:sz w:val="21"/>
                <w:szCs w:val="21"/>
              </w:rPr>
            </w:pPr>
            <w:r>
              <w:rPr>
                <w:rFonts w:hint="eastAsia" w:ascii="黑体" w:hAnsi="黑体" w:eastAsia="黑体" w:cs="黑体"/>
                <w:sz w:val="21"/>
                <w:szCs w:val="21"/>
              </w:rPr>
              <w:t>项目支出名称</w:t>
            </w:r>
          </w:p>
        </w:tc>
        <w:tc>
          <w:tcPr>
            <w:tcW w:w="3305" w:type="pct"/>
            <w:gridSpan w:val="6"/>
            <w:vAlign w:val="center"/>
          </w:tcPr>
          <w:p>
            <w:pPr>
              <w:jc w:val="center"/>
              <w:rPr>
                <w:rFonts w:hint="eastAsia" w:ascii="黑体" w:hAnsi="黑体" w:eastAsia="黑体" w:cs="黑体"/>
                <w:sz w:val="21"/>
                <w:szCs w:val="21"/>
                <w:lang w:eastAsia="zh-CN"/>
              </w:rPr>
            </w:pPr>
            <w:r>
              <w:rPr>
                <w:rFonts w:hint="eastAsia" w:ascii="黑体" w:hAnsi="黑体" w:eastAsia="黑体" w:cs="黑体"/>
                <w:sz w:val="21"/>
                <w:szCs w:val="21"/>
                <w:lang w:eastAsia="zh-CN"/>
              </w:rPr>
              <w:t>梅田湖镇</w:t>
            </w:r>
            <w:r>
              <w:rPr>
                <w:rFonts w:hint="eastAsia" w:ascii="黑体" w:hAnsi="黑体" w:eastAsia="黑体" w:cs="黑体"/>
                <w:sz w:val="21"/>
                <w:szCs w:val="21"/>
                <w:lang w:val="en-US" w:eastAsia="zh-CN"/>
              </w:rPr>
              <w:t>业务工作经费支出</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520"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主管</w:t>
            </w:r>
          </w:p>
          <w:p>
            <w:pPr>
              <w:jc w:val="center"/>
              <w:rPr>
                <w:rFonts w:hint="eastAsia" w:ascii="黑体" w:hAnsi="黑体" w:eastAsia="黑体" w:cs="黑体"/>
                <w:sz w:val="21"/>
                <w:szCs w:val="21"/>
              </w:rPr>
            </w:pPr>
            <w:r>
              <w:rPr>
                <w:rFonts w:hint="eastAsia" w:ascii="黑体" w:hAnsi="黑体" w:eastAsia="黑体" w:cs="黑体"/>
                <w:sz w:val="21"/>
                <w:szCs w:val="21"/>
              </w:rPr>
              <w:t>部门</w:t>
            </w:r>
          </w:p>
        </w:tc>
        <w:tc>
          <w:tcPr>
            <w:tcW w:w="2294" w:type="pct"/>
            <w:gridSpan w:val="4"/>
            <w:vAlign w:val="center"/>
          </w:tcPr>
          <w:p>
            <w:pPr>
              <w:jc w:val="center"/>
              <w:rPr>
                <w:rFonts w:hint="eastAsia" w:ascii="黑体" w:hAnsi="黑体" w:eastAsia="黑体" w:cs="黑体"/>
                <w:sz w:val="21"/>
                <w:szCs w:val="21"/>
                <w:lang w:eastAsia="zh-CN"/>
              </w:rPr>
            </w:pPr>
            <w:r>
              <w:rPr>
                <w:rFonts w:hint="eastAsia" w:ascii="黑体" w:hAnsi="黑体" w:eastAsia="黑体" w:cs="黑体"/>
                <w:sz w:val="21"/>
                <w:szCs w:val="21"/>
                <w:lang w:eastAsia="zh-CN"/>
              </w:rPr>
              <w:t>华容县人民政府</w:t>
            </w:r>
          </w:p>
        </w:tc>
        <w:tc>
          <w:tcPr>
            <w:tcW w:w="661"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实施单位</w:t>
            </w:r>
          </w:p>
        </w:tc>
        <w:tc>
          <w:tcPr>
            <w:tcW w:w="1524" w:type="pct"/>
            <w:gridSpan w:val="3"/>
            <w:vAlign w:val="center"/>
          </w:tcPr>
          <w:p>
            <w:pPr>
              <w:jc w:val="center"/>
              <w:rPr>
                <w:rFonts w:hint="eastAsia" w:ascii="黑体" w:hAnsi="黑体" w:eastAsia="黑体" w:cs="黑体"/>
                <w:sz w:val="21"/>
                <w:szCs w:val="21"/>
                <w:lang w:eastAsia="zh-CN"/>
              </w:rPr>
            </w:pPr>
            <w:r>
              <w:rPr>
                <w:rFonts w:hint="eastAsia" w:ascii="黑体" w:hAnsi="黑体" w:eastAsia="黑体" w:cs="黑体"/>
                <w:sz w:val="21"/>
                <w:szCs w:val="21"/>
                <w:lang w:eastAsia="zh-CN"/>
              </w:rPr>
              <w:t>华容县梅田湖镇人民政府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520" w:type="pct"/>
            <w:vMerge w:val="restart"/>
            <w:tcBorders>
              <w:bottom w:val="nil"/>
            </w:tcBorders>
            <w:vAlign w:val="center"/>
          </w:tcPr>
          <w:p>
            <w:pPr>
              <w:jc w:val="center"/>
              <w:rPr>
                <w:rFonts w:hint="eastAsia" w:ascii="黑体" w:hAnsi="黑体" w:eastAsia="黑体" w:cs="黑体"/>
                <w:sz w:val="21"/>
                <w:szCs w:val="21"/>
              </w:rPr>
            </w:pPr>
            <w:r>
              <w:rPr>
                <w:rFonts w:hint="eastAsia" w:ascii="黑体" w:hAnsi="黑体" w:eastAsia="黑体" w:cs="黑体"/>
                <w:sz w:val="21"/>
                <w:szCs w:val="21"/>
              </w:rPr>
              <w:t>项目资金（万元）</w:t>
            </w:r>
          </w:p>
        </w:tc>
        <w:tc>
          <w:tcPr>
            <w:tcW w:w="1174" w:type="pct"/>
            <w:gridSpan w:val="2"/>
            <w:vAlign w:val="center"/>
          </w:tcPr>
          <w:p>
            <w:pPr>
              <w:jc w:val="center"/>
              <w:rPr>
                <w:rFonts w:hint="eastAsia" w:ascii="黑体" w:hAnsi="黑体" w:eastAsia="黑体" w:cs="黑体"/>
                <w:sz w:val="21"/>
                <w:szCs w:val="21"/>
              </w:rPr>
            </w:pPr>
          </w:p>
        </w:tc>
        <w:tc>
          <w:tcPr>
            <w:tcW w:w="544"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年初</w:t>
            </w:r>
          </w:p>
          <w:p>
            <w:pPr>
              <w:jc w:val="center"/>
              <w:rPr>
                <w:rFonts w:hint="eastAsia" w:ascii="黑体" w:hAnsi="黑体" w:eastAsia="黑体" w:cs="黑体"/>
                <w:sz w:val="21"/>
                <w:szCs w:val="21"/>
              </w:rPr>
            </w:pPr>
            <w:r>
              <w:rPr>
                <w:rFonts w:hint="eastAsia" w:ascii="黑体" w:hAnsi="黑体" w:eastAsia="黑体" w:cs="黑体"/>
                <w:sz w:val="21"/>
                <w:szCs w:val="21"/>
              </w:rPr>
              <w:t>预算数</w:t>
            </w:r>
          </w:p>
        </w:tc>
        <w:tc>
          <w:tcPr>
            <w:tcW w:w="575"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全年</w:t>
            </w:r>
          </w:p>
          <w:p>
            <w:pPr>
              <w:jc w:val="center"/>
              <w:rPr>
                <w:rFonts w:hint="eastAsia" w:ascii="黑体" w:hAnsi="黑体" w:eastAsia="黑体" w:cs="黑体"/>
                <w:sz w:val="21"/>
                <w:szCs w:val="21"/>
              </w:rPr>
            </w:pPr>
            <w:r>
              <w:rPr>
                <w:rFonts w:hint="eastAsia" w:ascii="黑体" w:hAnsi="黑体" w:eastAsia="黑体" w:cs="黑体"/>
                <w:sz w:val="21"/>
                <w:szCs w:val="21"/>
              </w:rPr>
              <w:t>预算数</w:t>
            </w:r>
          </w:p>
        </w:tc>
        <w:tc>
          <w:tcPr>
            <w:tcW w:w="661"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全年</w:t>
            </w:r>
          </w:p>
          <w:p>
            <w:pPr>
              <w:jc w:val="center"/>
              <w:rPr>
                <w:rFonts w:hint="eastAsia" w:ascii="黑体" w:hAnsi="黑体" w:eastAsia="黑体" w:cs="黑体"/>
                <w:sz w:val="21"/>
                <w:szCs w:val="21"/>
              </w:rPr>
            </w:pPr>
            <w:r>
              <w:rPr>
                <w:rFonts w:hint="eastAsia" w:ascii="黑体" w:hAnsi="黑体" w:eastAsia="黑体" w:cs="黑体"/>
                <w:sz w:val="21"/>
                <w:szCs w:val="21"/>
              </w:rPr>
              <w:t>执行数</w:t>
            </w:r>
          </w:p>
        </w:tc>
        <w:tc>
          <w:tcPr>
            <w:tcW w:w="343" w:type="pct"/>
            <w:vAlign w:val="center"/>
          </w:tcPr>
          <w:p>
            <w:pPr>
              <w:jc w:val="center"/>
              <w:rPr>
                <w:rFonts w:hint="eastAsia" w:ascii="黑体" w:hAnsi="黑体" w:eastAsia="黑体" w:cs="黑体"/>
                <w:sz w:val="21"/>
                <w:szCs w:val="21"/>
                <w:lang w:eastAsia="zh-CN"/>
              </w:rPr>
            </w:pPr>
            <w:r>
              <w:rPr>
                <w:rFonts w:hint="eastAsia" w:ascii="黑体" w:hAnsi="黑体" w:eastAsia="黑体" w:cs="黑体"/>
                <w:sz w:val="21"/>
                <w:szCs w:val="21"/>
                <w:lang w:eastAsia="zh-CN"/>
              </w:rPr>
              <w:t>分值</w:t>
            </w:r>
          </w:p>
        </w:tc>
        <w:tc>
          <w:tcPr>
            <w:tcW w:w="403"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执行率</w:t>
            </w:r>
          </w:p>
        </w:tc>
        <w:tc>
          <w:tcPr>
            <w:tcW w:w="777"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自评得分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520"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74" w:type="pct"/>
            <w:gridSpan w:val="2"/>
            <w:vAlign w:val="center"/>
          </w:tcPr>
          <w:p>
            <w:pPr>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年度资金总额</w:t>
            </w:r>
          </w:p>
        </w:tc>
        <w:tc>
          <w:tcPr>
            <w:tcW w:w="544"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1617</w:t>
            </w:r>
          </w:p>
        </w:tc>
        <w:tc>
          <w:tcPr>
            <w:tcW w:w="575"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1617</w:t>
            </w:r>
          </w:p>
        </w:tc>
        <w:tc>
          <w:tcPr>
            <w:tcW w:w="661"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1617</w:t>
            </w:r>
          </w:p>
        </w:tc>
        <w:tc>
          <w:tcPr>
            <w:tcW w:w="343" w:type="pct"/>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w:t>
            </w:r>
          </w:p>
        </w:tc>
        <w:tc>
          <w:tcPr>
            <w:tcW w:w="403"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100%</w:t>
            </w:r>
          </w:p>
        </w:tc>
        <w:tc>
          <w:tcPr>
            <w:tcW w:w="777"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98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520"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74" w:type="pct"/>
            <w:gridSpan w:val="2"/>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其中：当年财政拨款</w:t>
            </w:r>
          </w:p>
        </w:tc>
        <w:tc>
          <w:tcPr>
            <w:tcW w:w="544" w:type="pct"/>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1617</w:t>
            </w:r>
          </w:p>
        </w:tc>
        <w:tc>
          <w:tcPr>
            <w:tcW w:w="575" w:type="pct"/>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1617</w:t>
            </w:r>
          </w:p>
        </w:tc>
        <w:tc>
          <w:tcPr>
            <w:tcW w:w="661" w:type="pct"/>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1617</w:t>
            </w:r>
          </w:p>
        </w:tc>
        <w:tc>
          <w:tcPr>
            <w:tcW w:w="343" w:type="pct"/>
            <w:vAlign w:val="center"/>
          </w:tcPr>
          <w:p>
            <w:pPr>
              <w:jc w:val="center"/>
              <w:rPr>
                <w:rFonts w:hint="eastAsia" w:asciiTheme="minorEastAsia" w:hAnsiTheme="minorEastAsia" w:eastAsiaTheme="minorEastAsia" w:cstheme="minorEastAsia"/>
                <w:sz w:val="21"/>
                <w:szCs w:val="21"/>
              </w:rPr>
            </w:pPr>
          </w:p>
        </w:tc>
        <w:tc>
          <w:tcPr>
            <w:tcW w:w="403" w:type="pct"/>
            <w:vAlign w:val="center"/>
          </w:tcPr>
          <w:p>
            <w:pPr>
              <w:jc w:val="center"/>
              <w:rPr>
                <w:rFonts w:hint="eastAsia" w:asciiTheme="minorEastAsia" w:hAnsiTheme="minorEastAsia" w:eastAsiaTheme="minorEastAsia" w:cstheme="minorEastAsia"/>
                <w:sz w:val="21"/>
                <w:szCs w:val="21"/>
              </w:rPr>
            </w:pP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520"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74" w:type="pct"/>
            <w:gridSpan w:val="2"/>
            <w:vAlign w:val="center"/>
          </w:tcPr>
          <w:p>
            <w:pPr>
              <w:ind w:left="0" w:leftChars="0" w:firstLine="619" w:firstLineChars="295"/>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上年结转资金</w:t>
            </w:r>
          </w:p>
        </w:tc>
        <w:tc>
          <w:tcPr>
            <w:tcW w:w="544" w:type="pct"/>
            <w:vAlign w:val="center"/>
          </w:tcPr>
          <w:p>
            <w:pPr>
              <w:jc w:val="center"/>
              <w:rPr>
                <w:rFonts w:hint="eastAsia" w:asciiTheme="minorEastAsia" w:hAnsiTheme="minorEastAsia" w:eastAsiaTheme="minorEastAsia" w:cstheme="minorEastAsia"/>
                <w:sz w:val="21"/>
                <w:szCs w:val="21"/>
              </w:rPr>
            </w:pPr>
          </w:p>
        </w:tc>
        <w:tc>
          <w:tcPr>
            <w:tcW w:w="575" w:type="pct"/>
            <w:vAlign w:val="center"/>
          </w:tcPr>
          <w:p>
            <w:pPr>
              <w:jc w:val="center"/>
              <w:rPr>
                <w:rFonts w:hint="eastAsia" w:asciiTheme="minorEastAsia" w:hAnsiTheme="minorEastAsia" w:eastAsiaTheme="minorEastAsia" w:cstheme="minorEastAsia"/>
                <w:sz w:val="21"/>
                <w:szCs w:val="21"/>
              </w:rPr>
            </w:pPr>
          </w:p>
        </w:tc>
        <w:tc>
          <w:tcPr>
            <w:tcW w:w="661" w:type="pct"/>
            <w:vAlign w:val="center"/>
          </w:tcPr>
          <w:p>
            <w:pPr>
              <w:jc w:val="center"/>
              <w:rPr>
                <w:rFonts w:hint="eastAsia" w:asciiTheme="minorEastAsia" w:hAnsiTheme="minorEastAsia" w:eastAsiaTheme="minorEastAsia" w:cstheme="minorEastAsia"/>
                <w:sz w:val="21"/>
                <w:szCs w:val="21"/>
              </w:rPr>
            </w:pPr>
          </w:p>
        </w:tc>
        <w:tc>
          <w:tcPr>
            <w:tcW w:w="343" w:type="pct"/>
            <w:vAlign w:val="center"/>
          </w:tcPr>
          <w:p>
            <w:pPr>
              <w:jc w:val="center"/>
              <w:rPr>
                <w:rFonts w:hint="eastAsia" w:asciiTheme="minorEastAsia" w:hAnsiTheme="minorEastAsia" w:eastAsiaTheme="minorEastAsia" w:cstheme="minorEastAsia"/>
                <w:sz w:val="21"/>
                <w:szCs w:val="21"/>
              </w:rPr>
            </w:pPr>
          </w:p>
        </w:tc>
        <w:tc>
          <w:tcPr>
            <w:tcW w:w="403" w:type="pct"/>
            <w:vAlign w:val="center"/>
          </w:tcPr>
          <w:p>
            <w:pPr>
              <w:jc w:val="center"/>
              <w:rPr>
                <w:rFonts w:hint="eastAsia" w:asciiTheme="minorEastAsia" w:hAnsiTheme="minorEastAsia" w:eastAsiaTheme="minorEastAsia" w:cstheme="minorEastAsia"/>
                <w:sz w:val="21"/>
                <w:szCs w:val="21"/>
              </w:rPr>
            </w:pP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520" w:type="pct"/>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1174" w:type="pct"/>
            <w:gridSpan w:val="2"/>
            <w:vAlign w:val="center"/>
          </w:tcPr>
          <w:p>
            <w:pPr>
              <w:ind w:left="0" w:leftChars="0" w:firstLine="619" w:firstLineChars="295"/>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其他资金</w:t>
            </w:r>
          </w:p>
        </w:tc>
        <w:tc>
          <w:tcPr>
            <w:tcW w:w="544" w:type="pct"/>
            <w:vAlign w:val="center"/>
          </w:tcPr>
          <w:p>
            <w:pPr>
              <w:jc w:val="center"/>
              <w:rPr>
                <w:rFonts w:hint="eastAsia" w:asciiTheme="minorEastAsia" w:hAnsiTheme="minorEastAsia" w:eastAsiaTheme="minorEastAsia" w:cstheme="minorEastAsia"/>
                <w:sz w:val="21"/>
                <w:szCs w:val="21"/>
              </w:rPr>
            </w:pPr>
          </w:p>
        </w:tc>
        <w:tc>
          <w:tcPr>
            <w:tcW w:w="575" w:type="pct"/>
            <w:vAlign w:val="center"/>
          </w:tcPr>
          <w:p>
            <w:pPr>
              <w:jc w:val="center"/>
              <w:rPr>
                <w:rFonts w:hint="eastAsia" w:asciiTheme="minorEastAsia" w:hAnsiTheme="minorEastAsia" w:eastAsiaTheme="minorEastAsia" w:cstheme="minorEastAsia"/>
                <w:sz w:val="21"/>
                <w:szCs w:val="21"/>
              </w:rPr>
            </w:pPr>
          </w:p>
        </w:tc>
        <w:tc>
          <w:tcPr>
            <w:tcW w:w="661" w:type="pct"/>
            <w:vAlign w:val="center"/>
          </w:tcPr>
          <w:p>
            <w:pPr>
              <w:jc w:val="center"/>
              <w:rPr>
                <w:rFonts w:hint="eastAsia" w:asciiTheme="minorEastAsia" w:hAnsiTheme="minorEastAsia" w:eastAsiaTheme="minorEastAsia" w:cstheme="minorEastAsia"/>
                <w:sz w:val="21"/>
                <w:szCs w:val="21"/>
              </w:rPr>
            </w:pPr>
          </w:p>
        </w:tc>
        <w:tc>
          <w:tcPr>
            <w:tcW w:w="343" w:type="pct"/>
            <w:vAlign w:val="center"/>
          </w:tcPr>
          <w:p>
            <w:pPr>
              <w:jc w:val="center"/>
              <w:rPr>
                <w:rFonts w:hint="eastAsia" w:asciiTheme="minorEastAsia" w:hAnsiTheme="minorEastAsia" w:eastAsiaTheme="minorEastAsia" w:cstheme="minorEastAsia"/>
                <w:sz w:val="21"/>
                <w:szCs w:val="21"/>
              </w:rPr>
            </w:pPr>
          </w:p>
        </w:tc>
        <w:tc>
          <w:tcPr>
            <w:tcW w:w="403" w:type="pct"/>
            <w:vAlign w:val="center"/>
          </w:tcPr>
          <w:p>
            <w:pPr>
              <w:jc w:val="center"/>
              <w:rPr>
                <w:rFonts w:hint="eastAsia" w:asciiTheme="minorEastAsia" w:hAnsiTheme="minorEastAsia" w:eastAsiaTheme="minorEastAsia" w:cstheme="minorEastAsia"/>
                <w:sz w:val="21"/>
                <w:szCs w:val="21"/>
              </w:rPr>
            </w:pP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520" w:type="pct"/>
            <w:vMerge w:val="restart"/>
            <w:tcBorders>
              <w:bottom w:val="nil"/>
            </w:tcBorders>
            <w:vAlign w:val="center"/>
          </w:tcPr>
          <w:p>
            <w:pPr>
              <w:jc w:val="center"/>
              <w:rPr>
                <w:rFonts w:hint="eastAsia" w:ascii="黑体" w:hAnsi="黑体" w:eastAsia="黑体" w:cs="黑体"/>
                <w:sz w:val="21"/>
                <w:szCs w:val="21"/>
              </w:rPr>
            </w:pPr>
            <w:r>
              <w:rPr>
                <w:rFonts w:hint="eastAsia" w:ascii="黑体" w:hAnsi="黑体" w:eastAsia="黑体" w:cs="黑体"/>
                <w:sz w:val="21"/>
                <w:szCs w:val="21"/>
              </w:rPr>
              <w:t>年度总</w:t>
            </w:r>
          </w:p>
          <w:p>
            <w:pPr>
              <w:jc w:val="center"/>
              <w:rPr>
                <w:rFonts w:hint="eastAsia" w:ascii="黑体" w:hAnsi="黑体" w:eastAsia="黑体" w:cs="黑体"/>
                <w:sz w:val="21"/>
                <w:szCs w:val="21"/>
              </w:rPr>
            </w:pPr>
            <w:r>
              <w:rPr>
                <w:rFonts w:hint="eastAsia" w:ascii="黑体" w:hAnsi="黑体" w:eastAsia="黑体" w:cs="黑体"/>
                <w:sz w:val="21"/>
                <w:szCs w:val="21"/>
                <w:lang w:eastAsia="zh-CN"/>
              </w:rPr>
              <w:t>体</w:t>
            </w:r>
            <w:r>
              <w:rPr>
                <w:rFonts w:hint="eastAsia" w:ascii="黑体" w:hAnsi="黑体" w:eastAsia="黑体" w:cs="黑体"/>
                <w:sz w:val="21"/>
                <w:szCs w:val="21"/>
              </w:rPr>
              <w:t>目标</w:t>
            </w:r>
          </w:p>
        </w:tc>
        <w:tc>
          <w:tcPr>
            <w:tcW w:w="2294" w:type="pct"/>
            <w:gridSpan w:val="4"/>
            <w:vAlign w:val="center"/>
          </w:tcPr>
          <w:p>
            <w:pPr>
              <w:jc w:val="center"/>
              <w:rPr>
                <w:rFonts w:hint="eastAsia" w:ascii="黑体" w:hAnsi="黑体" w:eastAsia="黑体" w:cs="黑体"/>
                <w:sz w:val="21"/>
                <w:szCs w:val="21"/>
              </w:rPr>
            </w:pPr>
            <w:r>
              <w:rPr>
                <w:rFonts w:hint="eastAsia" w:ascii="黑体" w:hAnsi="黑体" w:eastAsia="黑体" w:cs="黑体"/>
                <w:sz w:val="21"/>
                <w:szCs w:val="21"/>
              </w:rPr>
              <w:t>预期目标</w:t>
            </w:r>
          </w:p>
        </w:tc>
        <w:tc>
          <w:tcPr>
            <w:tcW w:w="2185" w:type="pct"/>
            <w:gridSpan w:val="4"/>
            <w:vAlign w:val="center"/>
          </w:tcPr>
          <w:p>
            <w:pPr>
              <w:jc w:val="center"/>
              <w:rPr>
                <w:rFonts w:hint="eastAsia" w:ascii="黑体" w:hAnsi="黑体" w:eastAsia="黑体" w:cs="黑体"/>
                <w:sz w:val="21"/>
                <w:szCs w:val="21"/>
              </w:rPr>
            </w:pPr>
            <w:r>
              <w:rPr>
                <w:rFonts w:hint="eastAsia" w:ascii="黑体" w:hAnsi="黑体" w:eastAsia="黑体" w:cs="黑体"/>
                <w:sz w:val="21"/>
                <w:szCs w:val="21"/>
              </w:rPr>
              <w:t>实际完成情况</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2" w:hRule="atLeast"/>
        </w:trPr>
        <w:tc>
          <w:tcPr>
            <w:tcW w:w="520" w:type="pct"/>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2294" w:type="pct"/>
            <w:gridSpan w:val="4"/>
            <w:vAlign w:val="center"/>
          </w:tcPr>
          <w:p>
            <w:pPr>
              <w:jc w:val="center"/>
              <w:rPr>
                <w:rFonts w:hint="eastAsia" w:asciiTheme="minorEastAsia" w:hAnsiTheme="minorEastAsia" w:eastAsiaTheme="minorEastAsia" w:cstheme="minorEastAsia"/>
                <w:sz w:val="21"/>
                <w:szCs w:val="21"/>
              </w:rPr>
            </w:pPr>
            <w:r>
              <w:rPr>
                <w:rFonts w:hint="eastAsia" w:ascii="宋体" w:hAnsi="宋体" w:eastAsia="宋体" w:cs="宋体"/>
                <w:kern w:val="2"/>
                <w:sz w:val="21"/>
                <w:szCs w:val="21"/>
                <w:lang w:val="en-US" w:eastAsia="zh-CN" w:bidi="ar-SA"/>
              </w:rPr>
              <w:t>达到生态环境向好发展、产业发展、乡村振兴不断推进、社会大局安全稳定。</w:t>
            </w:r>
          </w:p>
        </w:tc>
        <w:tc>
          <w:tcPr>
            <w:tcW w:w="2185" w:type="pct"/>
            <w:gridSpan w:val="4"/>
            <w:vAlign w:val="center"/>
          </w:tcPr>
          <w:p>
            <w:pPr>
              <w:keepNext w:val="0"/>
              <w:keepLines w:val="0"/>
              <w:pageBreakBefore w:val="0"/>
              <w:widowControl w:val="0"/>
              <w:numPr>
                <w:ilvl w:val="0"/>
                <w:numId w:val="0"/>
              </w:numPr>
              <w:kinsoku/>
              <w:wordWrap/>
              <w:overflowPunct/>
              <w:topLinePunct w:val="0"/>
              <w:autoSpaceDE/>
              <w:autoSpaceDN/>
              <w:bidi w:val="0"/>
              <w:adjustRightInd/>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镇村两级基础设施建设不断完善，特困人员生活得到保障，乡村振兴政策落地生效，梅田湖镇级三通公路工程和梅田湖敬老院东福分院新建宿舍工程得到有效建设。</w:t>
            </w:r>
          </w:p>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8" w:hRule="atLeast"/>
        </w:trPr>
        <w:tc>
          <w:tcPr>
            <w:tcW w:w="520" w:type="pct"/>
            <w:vMerge w:val="restart"/>
            <w:vAlign w:val="center"/>
          </w:tcPr>
          <w:p>
            <w:pPr>
              <w:jc w:val="center"/>
              <w:rPr>
                <w:rFonts w:hint="eastAsia" w:ascii="黑体" w:hAnsi="黑体" w:eastAsia="黑体" w:cs="黑体"/>
                <w:sz w:val="21"/>
                <w:szCs w:val="21"/>
              </w:rPr>
            </w:pPr>
            <w:r>
              <w:rPr>
                <w:rFonts w:hint="eastAsia" w:ascii="黑体" w:hAnsi="黑体" w:eastAsia="黑体" w:cs="黑体"/>
                <w:sz w:val="21"/>
                <w:szCs w:val="21"/>
              </w:rPr>
              <w:t>绩</w:t>
            </w:r>
          </w:p>
          <w:p>
            <w:pPr>
              <w:jc w:val="center"/>
              <w:rPr>
                <w:rFonts w:hint="eastAsia" w:ascii="黑体" w:hAnsi="黑体" w:eastAsia="黑体" w:cs="黑体"/>
                <w:sz w:val="21"/>
                <w:szCs w:val="21"/>
              </w:rPr>
            </w:pPr>
            <w:r>
              <w:rPr>
                <w:rFonts w:hint="eastAsia" w:ascii="黑体" w:hAnsi="黑体" w:eastAsia="黑体" w:cs="黑体"/>
                <w:sz w:val="21"/>
                <w:szCs w:val="21"/>
              </w:rPr>
              <w:t>效</w:t>
            </w:r>
          </w:p>
          <w:p>
            <w:pPr>
              <w:jc w:val="center"/>
              <w:rPr>
                <w:rFonts w:hint="eastAsia" w:ascii="黑体" w:hAnsi="黑体" w:eastAsia="黑体" w:cs="黑体"/>
                <w:sz w:val="21"/>
                <w:szCs w:val="21"/>
              </w:rPr>
            </w:pPr>
            <w:r>
              <w:rPr>
                <w:rFonts w:hint="eastAsia" w:ascii="黑体" w:hAnsi="黑体" w:eastAsia="黑体" w:cs="黑体"/>
                <w:sz w:val="21"/>
                <w:szCs w:val="21"/>
              </w:rPr>
              <w:t>指</w:t>
            </w:r>
          </w:p>
          <w:p>
            <w:pPr>
              <w:jc w:val="center"/>
              <w:rPr>
                <w:rFonts w:hint="eastAsia" w:ascii="黑体" w:hAnsi="黑体" w:eastAsia="黑体" w:cs="黑体"/>
                <w:sz w:val="21"/>
                <w:szCs w:val="21"/>
              </w:rPr>
            </w:pPr>
            <w:r>
              <w:rPr>
                <w:rFonts w:hint="eastAsia" w:ascii="黑体" w:hAnsi="黑体" w:eastAsia="黑体" w:cs="黑体"/>
                <w:sz w:val="21"/>
                <w:szCs w:val="21"/>
              </w:rPr>
              <w:t>标</w:t>
            </w:r>
          </w:p>
        </w:tc>
        <w:tc>
          <w:tcPr>
            <w:tcW w:w="520"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一级指标</w:t>
            </w:r>
          </w:p>
        </w:tc>
        <w:tc>
          <w:tcPr>
            <w:tcW w:w="654"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二级指标</w:t>
            </w:r>
          </w:p>
        </w:tc>
        <w:tc>
          <w:tcPr>
            <w:tcW w:w="544"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三级指标</w:t>
            </w:r>
          </w:p>
        </w:tc>
        <w:tc>
          <w:tcPr>
            <w:tcW w:w="575"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年度</w:t>
            </w:r>
          </w:p>
          <w:p>
            <w:pPr>
              <w:jc w:val="center"/>
              <w:rPr>
                <w:rFonts w:hint="eastAsia" w:ascii="黑体" w:hAnsi="黑体" w:eastAsia="黑体" w:cs="黑体"/>
                <w:sz w:val="21"/>
                <w:szCs w:val="21"/>
              </w:rPr>
            </w:pPr>
            <w:r>
              <w:rPr>
                <w:rFonts w:hint="eastAsia" w:ascii="黑体" w:hAnsi="黑体" w:eastAsia="黑体" w:cs="黑体"/>
                <w:sz w:val="21"/>
                <w:szCs w:val="21"/>
              </w:rPr>
              <w:t>指标值</w:t>
            </w:r>
          </w:p>
        </w:tc>
        <w:tc>
          <w:tcPr>
            <w:tcW w:w="661"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实际</w:t>
            </w:r>
          </w:p>
          <w:p>
            <w:pPr>
              <w:jc w:val="center"/>
              <w:rPr>
                <w:rFonts w:hint="eastAsia" w:ascii="黑体" w:hAnsi="黑体" w:eastAsia="黑体" w:cs="黑体"/>
                <w:sz w:val="21"/>
                <w:szCs w:val="21"/>
              </w:rPr>
            </w:pPr>
            <w:r>
              <w:rPr>
                <w:rFonts w:hint="eastAsia" w:ascii="黑体" w:hAnsi="黑体" w:eastAsia="黑体" w:cs="黑体"/>
                <w:sz w:val="21"/>
                <w:szCs w:val="21"/>
              </w:rPr>
              <w:t>完成值</w:t>
            </w:r>
          </w:p>
        </w:tc>
        <w:tc>
          <w:tcPr>
            <w:tcW w:w="343"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分值</w:t>
            </w:r>
          </w:p>
        </w:tc>
        <w:tc>
          <w:tcPr>
            <w:tcW w:w="403"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自评</w:t>
            </w:r>
          </w:p>
          <w:p>
            <w:pPr>
              <w:jc w:val="center"/>
              <w:rPr>
                <w:rFonts w:hint="eastAsia" w:ascii="黑体" w:hAnsi="黑体" w:eastAsia="黑体" w:cs="黑体"/>
                <w:sz w:val="21"/>
                <w:szCs w:val="21"/>
              </w:rPr>
            </w:pPr>
            <w:r>
              <w:rPr>
                <w:rFonts w:hint="eastAsia" w:ascii="黑体" w:hAnsi="黑体" w:eastAsia="黑体" w:cs="黑体"/>
                <w:sz w:val="21"/>
                <w:szCs w:val="21"/>
              </w:rPr>
              <w:t>得分</w:t>
            </w:r>
          </w:p>
        </w:tc>
        <w:tc>
          <w:tcPr>
            <w:tcW w:w="777" w:type="pct"/>
            <w:vAlign w:val="center"/>
          </w:tcPr>
          <w:p>
            <w:pPr>
              <w:jc w:val="center"/>
              <w:rPr>
                <w:rFonts w:hint="eastAsia" w:ascii="黑体" w:hAnsi="黑体" w:eastAsia="黑体" w:cs="黑体"/>
                <w:sz w:val="21"/>
                <w:szCs w:val="21"/>
              </w:rPr>
            </w:pPr>
            <w:r>
              <w:rPr>
                <w:rFonts w:hint="eastAsia" w:ascii="黑体" w:hAnsi="黑体" w:eastAsia="黑体" w:cs="黑体"/>
                <w:sz w:val="21"/>
                <w:szCs w:val="21"/>
              </w:rPr>
              <w:t>偏差原因分析及改进措施</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520" w:type="pct"/>
            <w:vMerge w:val="continue"/>
            <w:textDirection w:val="tbRlV"/>
            <w:vAlign w:val="center"/>
          </w:tcPr>
          <w:p>
            <w:pPr>
              <w:jc w:val="center"/>
              <w:rPr>
                <w:rFonts w:hint="eastAsia" w:ascii="黑体" w:hAnsi="黑体" w:eastAsia="黑体" w:cs="黑体"/>
                <w:sz w:val="21"/>
                <w:szCs w:val="21"/>
              </w:rPr>
            </w:pPr>
          </w:p>
        </w:tc>
        <w:tc>
          <w:tcPr>
            <w:tcW w:w="520" w:type="pct"/>
            <w:vMerge w:val="restart"/>
            <w:tcBorders>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产</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出</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3</w:t>
            </w:r>
            <w:r>
              <w:rPr>
                <w:rFonts w:hint="eastAsia" w:asciiTheme="minorEastAsia" w:hAnsiTheme="minorEastAsia" w:eastAsiaTheme="minorEastAsia" w:cstheme="minorEastAsia"/>
                <w:sz w:val="21"/>
                <w:szCs w:val="21"/>
              </w:rPr>
              <w:t>0分</w:t>
            </w:r>
            <w:r>
              <w:rPr>
                <w:rFonts w:hint="eastAsia" w:asciiTheme="minorEastAsia" w:hAnsiTheme="minorEastAsia" w:eastAsiaTheme="minorEastAsia" w:cstheme="minorEastAsia"/>
                <w:sz w:val="21"/>
                <w:szCs w:val="21"/>
                <w:lang w:eastAsia="zh-CN"/>
              </w:rPr>
              <w:t>）</w:t>
            </w:r>
          </w:p>
        </w:tc>
        <w:tc>
          <w:tcPr>
            <w:tcW w:w="654" w:type="pct"/>
            <w:vMerge w:val="restart"/>
            <w:tcBorders>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数</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量</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tc>
        <w:tc>
          <w:tcPr>
            <w:tcW w:w="544" w:type="pct"/>
            <w:vAlign w:val="center"/>
          </w:tcPr>
          <w:p>
            <w:pPr>
              <w:widowControl/>
              <w:spacing w:line="0" w:lineRule="atLeast"/>
              <w:jc w:val="center"/>
              <w:rPr>
                <w:rFonts w:hint="eastAsia"/>
                <w:sz w:val="17"/>
                <w:lang w:eastAsia="zh-CN"/>
              </w:rPr>
            </w:pPr>
            <w:r>
              <w:rPr>
                <w:rFonts w:hint="eastAsia"/>
                <w:sz w:val="17"/>
                <w:lang w:eastAsia="zh-CN"/>
              </w:rPr>
              <w:t>指标</w:t>
            </w:r>
            <w:r>
              <w:rPr>
                <w:rFonts w:hint="eastAsia"/>
                <w:sz w:val="17"/>
                <w:lang w:val="en-US" w:eastAsia="zh-CN"/>
              </w:rPr>
              <w:t>1：</w:t>
            </w:r>
            <w:r>
              <w:rPr>
                <w:rFonts w:hint="eastAsia"/>
                <w:sz w:val="17"/>
                <w:lang w:eastAsia="zh-CN"/>
              </w:rPr>
              <w:t>新建宿舍</w:t>
            </w:r>
          </w:p>
        </w:tc>
        <w:tc>
          <w:tcPr>
            <w:tcW w:w="575" w:type="pct"/>
            <w:vAlign w:val="center"/>
          </w:tcPr>
          <w:p>
            <w:pPr>
              <w:widowControl/>
              <w:spacing w:line="0" w:lineRule="atLeast"/>
              <w:jc w:val="center"/>
              <w:rPr>
                <w:rFonts w:hint="eastAsia"/>
                <w:sz w:val="17"/>
                <w:lang w:val="en-US" w:eastAsia="zh-CN"/>
              </w:rPr>
            </w:pPr>
            <w:r>
              <w:rPr>
                <w:rFonts w:hint="eastAsia"/>
                <w:sz w:val="17"/>
              </w:rPr>
              <w:t>≥</w:t>
            </w:r>
            <w:r>
              <w:rPr>
                <w:rFonts w:hint="eastAsia"/>
                <w:sz w:val="17"/>
                <w:lang w:val="en-US" w:eastAsia="zh-CN"/>
              </w:rPr>
              <w:t>8间</w:t>
            </w:r>
          </w:p>
        </w:tc>
        <w:tc>
          <w:tcPr>
            <w:tcW w:w="661" w:type="pct"/>
            <w:vAlign w:val="center"/>
          </w:tcPr>
          <w:p>
            <w:pPr>
              <w:widowControl/>
              <w:spacing w:line="0" w:lineRule="atLeast"/>
              <w:jc w:val="center"/>
              <w:rPr>
                <w:rFonts w:hint="eastAsia"/>
                <w:sz w:val="17"/>
                <w:lang w:eastAsia="zh-CN"/>
              </w:rPr>
            </w:pPr>
            <w:r>
              <w:rPr>
                <w:rFonts w:hint="eastAsia"/>
                <w:sz w:val="17"/>
                <w:lang w:eastAsia="zh-CN"/>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520" w:type="pct"/>
            <w:vMerge w:val="continue"/>
            <w:textDirection w:val="tbRlV"/>
            <w:vAlign w:val="center"/>
          </w:tcPr>
          <w:p>
            <w:pPr>
              <w:jc w:val="center"/>
              <w:rPr>
                <w:rFonts w:hint="eastAsia" w:ascii="黑体" w:hAnsi="黑体" w:eastAsia="黑体" w:cs="黑体"/>
                <w:sz w:val="21"/>
                <w:szCs w:val="21"/>
              </w:rPr>
            </w:pPr>
          </w:p>
        </w:tc>
        <w:tc>
          <w:tcPr>
            <w:tcW w:w="520"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654"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544" w:type="pct"/>
            <w:vAlign w:val="center"/>
          </w:tcPr>
          <w:p>
            <w:pPr>
              <w:widowControl/>
              <w:spacing w:line="0" w:lineRule="atLeast"/>
              <w:jc w:val="center"/>
              <w:rPr>
                <w:rFonts w:hint="default"/>
                <w:sz w:val="17"/>
                <w:lang w:val="en-US" w:eastAsia="zh-CN"/>
              </w:rPr>
            </w:pPr>
            <w:r>
              <w:rPr>
                <w:rFonts w:hint="eastAsia"/>
                <w:sz w:val="17"/>
                <w:lang w:eastAsia="zh-CN"/>
              </w:rPr>
              <w:t>指标</w:t>
            </w:r>
            <w:r>
              <w:rPr>
                <w:rFonts w:hint="eastAsia"/>
                <w:sz w:val="17"/>
                <w:lang w:val="en-US" w:eastAsia="zh-CN"/>
              </w:rPr>
              <w:t>2：镇级公路长</w:t>
            </w:r>
          </w:p>
        </w:tc>
        <w:tc>
          <w:tcPr>
            <w:tcW w:w="575" w:type="pct"/>
            <w:vAlign w:val="center"/>
          </w:tcPr>
          <w:p>
            <w:pPr>
              <w:widowControl/>
              <w:spacing w:line="0" w:lineRule="atLeast"/>
              <w:jc w:val="center"/>
              <w:rPr>
                <w:rFonts w:hint="default"/>
                <w:sz w:val="17"/>
                <w:lang w:val="en-US" w:eastAsia="zh-CN"/>
              </w:rPr>
            </w:pPr>
            <w:r>
              <w:rPr>
                <w:rFonts w:hint="eastAsia"/>
                <w:sz w:val="17"/>
                <w:lang w:eastAsia="zh-CN"/>
              </w:rPr>
              <w:t>≥</w:t>
            </w:r>
            <w:r>
              <w:rPr>
                <w:rFonts w:hint="eastAsia"/>
                <w:sz w:val="17"/>
                <w:lang w:val="en-US" w:eastAsia="zh-CN"/>
              </w:rPr>
              <w:t>2.77公里</w:t>
            </w:r>
          </w:p>
        </w:tc>
        <w:tc>
          <w:tcPr>
            <w:tcW w:w="661" w:type="pct"/>
            <w:vAlign w:val="center"/>
          </w:tcPr>
          <w:p>
            <w:pPr>
              <w:widowControl/>
              <w:spacing w:line="0" w:lineRule="atLeast"/>
              <w:jc w:val="center"/>
              <w:rPr>
                <w:rFonts w:hint="default"/>
                <w:sz w:val="17"/>
                <w:lang w:val="en-US" w:eastAsia="zh-CN"/>
              </w:rPr>
            </w:pPr>
            <w:r>
              <w:rPr>
                <w:rFonts w:hint="eastAsia"/>
                <w:sz w:val="17"/>
                <w:lang w:val="en-US" w:eastAsia="zh-CN"/>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6" w:hRule="atLeast"/>
        </w:trPr>
        <w:tc>
          <w:tcPr>
            <w:tcW w:w="520" w:type="pct"/>
            <w:vMerge w:val="continue"/>
            <w:textDirection w:val="tbRlV"/>
            <w:vAlign w:val="center"/>
          </w:tcPr>
          <w:p>
            <w:pPr>
              <w:jc w:val="center"/>
              <w:rPr>
                <w:rFonts w:hint="eastAsia" w:ascii="黑体" w:hAnsi="黑体" w:eastAsia="黑体" w:cs="黑体"/>
                <w:sz w:val="21"/>
                <w:szCs w:val="21"/>
              </w:rPr>
            </w:pPr>
          </w:p>
        </w:tc>
        <w:tc>
          <w:tcPr>
            <w:tcW w:w="520"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654" w:type="pct"/>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544" w:type="pct"/>
            <w:vAlign w:val="center"/>
          </w:tcPr>
          <w:p>
            <w:pPr>
              <w:widowControl/>
              <w:spacing w:line="0" w:lineRule="atLeast"/>
              <w:jc w:val="center"/>
              <w:rPr>
                <w:rFonts w:hint="eastAsia"/>
                <w:sz w:val="17"/>
                <w:lang w:eastAsia="zh-CN"/>
              </w:rPr>
            </w:pPr>
            <w:r>
              <w:rPr>
                <w:rFonts w:hint="eastAsia"/>
                <w:sz w:val="17"/>
                <w:lang w:eastAsia="zh-CN"/>
              </w:rPr>
              <w:t>指标</w:t>
            </w:r>
            <w:r>
              <w:rPr>
                <w:rFonts w:hint="eastAsia"/>
                <w:sz w:val="17"/>
                <w:lang w:val="en-US" w:eastAsia="zh-CN"/>
              </w:rPr>
              <w:t>2：镇级公路长</w:t>
            </w:r>
          </w:p>
        </w:tc>
        <w:tc>
          <w:tcPr>
            <w:tcW w:w="575" w:type="pct"/>
            <w:vAlign w:val="center"/>
          </w:tcPr>
          <w:p>
            <w:pPr>
              <w:widowControl/>
              <w:spacing w:line="0" w:lineRule="atLeast"/>
              <w:jc w:val="center"/>
              <w:rPr>
                <w:rFonts w:hint="default"/>
                <w:sz w:val="17"/>
                <w:lang w:val="en-US" w:eastAsia="zh-CN"/>
              </w:rPr>
            </w:pPr>
            <w:r>
              <w:rPr>
                <w:rFonts w:hint="eastAsia"/>
                <w:sz w:val="17"/>
                <w:lang w:eastAsia="zh-CN"/>
              </w:rPr>
              <w:t>≥</w:t>
            </w:r>
            <w:r>
              <w:rPr>
                <w:rFonts w:hint="eastAsia"/>
                <w:sz w:val="17"/>
                <w:lang w:val="en-US" w:eastAsia="zh-CN"/>
              </w:rPr>
              <w:t>6.5米</w:t>
            </w:r>
          </w:p>
        </w:tc>
        <w:tc>
          <w:tcPr>
            <w:tcW w:w="661" w:type="pct"/>
            <w:vAlign w:val="center"/>
          </w:tcPr>
          <w:p>
            <w:pPr>
              <w:widowControl/>
              <w:spacing w:line="0" w:lineRule="atLeast"/>
              <w:jc w:val="center"/>
              <w:rPr>
                <w:rFonts w:hint="eastAsia"/>
                <w:sz w:val="17"/>
                <w:lang w:eastAsia="zh-CN"/>
              </w:rPr>
            </w:pPr>
            <w:r>
              <w:rPr>
                <w:rFonts w:hint="eastAsia"/>
                <w:sz w:val="17"/>
                <w:lang w:eastAsia="zh-CN"/>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520" w:type="pct"/>
            <w:vMerge w:val="continue"/>
            <w:textDirection w:val="tbRlV"/>
            <w:vAlign w:val="center"/>
          </w:tcPr>
          <w:p>
            <w:pPr>
              <w:jc w:val="center"/>
              <w:rPr>
                <w:rFonts w:hint="eastAsia" w:ascii="黑体" w:hAnsi="黑体" w:eastAsia="黑体" w:cs="黑体"/>
                <w:sz w:val="21"/>
                <w:szCs w:val="21"/>
              </w:rPr>
            </w:pPr>
          </w:p>
        </w:tc>
        <w:tc>
          <w:tcPr>
            <w:tcW w:w="520"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654" w:type="pct"/>
            <w:vMerge w:val="restart"/>
            <w:tcBorders>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质</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量</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tc>
        <w:tc>
          <w:tcPr>
            <w:tcW w:w="544" w:type="pct"/>
            <w:vAlign w:val="center"/>
          </w:tcPr>
          <w:p>
            <w:pPr>
              <w:widowControl/>
              <w:spacing w:line="0" w:lineRule="atLeast"/>
              <w:jc w:val="center"/>
              <w:rPr>
                <w:rFonts w:hint="eastAsia"/>
                <w:sz w:val="17"/>
                <w:lang w:val="en-US" w:eastAsia="zh-CN"/>
              </w:rPr>
            </w:pPr>
            <w:r>
              <w:rPr>
                <w:rFonts w:hint="eastAsia"/>
                <w:sz w:val="17"/>
                <w:lang w:eastAsia="zh-CN"/>
              </w:rPr>
              <w:t>指标1：保障机构正常运转</w:t>
            </w:r>
          </w:p>
        </w:tc>
        <w:tc>
          <w:tcPr>
            <w:tcW w:w="575" w:type="pct"/>
            <w:vAlign w:val="center"/>
          </w:tcPr>
          <w:p>
            <w:pPr>
              <w:widowControl/>
              <w:spacing w:line="0" w:lineRule="atLeast"/>
              <w:jc w:val="center"/>
              <w:rPr>
                <w:rFonts w:hint="eastAsia"/>
                <w:sz w:val="17"/>
                <w:lang w:val="en-US" w:eastAsia="zh-CN"/>
              </w:rPr>
            </w:pPr>
            <w:r>
              <w:rPr>
                <w:rFonts w:hint="eastAsia"/>
                <w:sz w:val="17"/>
                <w:lang w:eastAsia="zh-CN"/>
              </w:rPr>
              <w:t>正常</w:t>
            </w:r>
          </w:p>
        </w:tc>
        <w:tc>
          <w:tcPr>
            <w:tcW w:w="661" w:type="pct"/>
            <w:vAlign w:val="center"/>
          </w:tcPr>
          <w:p>
            <w:pPr>
              <w:widowControl/>
              <w:spacing w:line="0" w:lineRule="atLeast"/>
              <w:jc w:val="center"/>
              <w:rPr>
                <w:rFonts w:hint="eastAsia"/>
                <w:sz w:val="17"/>
                <w:lang w:val="en-US" w:eastAsia="zh-CN"/>
              </w:rPr>
            </w:pPr>
            <w:r>
              <w:rPr>
                <w:rFonts w:hint="eastAsia"/>
                <w:sz w:val="17"/>
                <w:lang w:eastAsia="zh-CN"/>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520" w:type="pct"/>
            <w:vMerge w:val="continue"/>
            <w:textDirection w:val="tbRlV"/>
            <w:vAlign w:val="center"/>
          </w:tcPr>
          <w:p>
            <w:pPr>
              <w:jc w:val="center"/>
              <w:rPr>
                <w:rFonts w:hint="eastAsia" w:ascii="黑体" w:hAnsi="黑体" w:eastAsia="黑体" w:cs="黑体"/>
                <w:sz w:val="21"/>
                <w:szCs w:val="21"/>
              </w:rPr>
            </w:pPr>
          </w:p>
        </w:tc>
        <w:tc>
          <w:tcPr>
            <w:tcW w:w="520"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654" w:type="pct"/>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544" w:type="pct"/>
            <w:vAlign w:val="center"/>
          </w:tcPr>
          <w:p>
            <w:pPr>
              <w:widowControl/>
              <w:spacing w:line="0" w:lineRule="atLeast"/>
              <w:jc w:val="center"/>
              <w:rPr>
                <w:rFonts w:hint="eastAsia"/>
                <w:sz w:val="17"/>
                <w:lang w:val="en-US" w:eastAsia="zh-CN"/>
              </w:rPr>
            </w:pPr>
            <w:r>
              <w:rPr>
                <w:rFonts w:hint="eastAsia"/>
                <w:sz w:val="17"/>
                <w:lang w:eastAsia="zh-CN"/>
              </w:rPr>
              <w:t>指标1：</w:t>
            </w:r>
            <w:r>
              <w:rPr>
                <w:rFonts w:hint="eastAsia"/>
                <w:sz w:val="17"/>
                <w:lang w:eastAsia="zh-CN"/>
              </w:rPr>
              <w:t>质量验收</w:t>
            </w:r>
          </w:p>
        </w:tc>
        <w:tc>
          <w:tcPr>
            <w:tcW w:w="575" w:type="pct"/>
            <w:vAlign w:val="center"/>
          </w:tcPr>
          <w:p>
            <w:pPr>
              <w:widowControl/>
              <w:spacing w:line="0" w:lineRule="atLeast"/>
              <w:jc w:val="center"/>
              <w:rPr>
                <w:rFonts w:hint="eastAsia"/>
                <w:sz w:val="17"/>
                <w:lang w:val="en-US" w:eastAsia="zh-CN"/>
              </w:rPr>
            </w:pPr>
            <w:r>
              <w:rPr>
                <w:rFonts w:hint="eastAsia"/>
                <w:sz w:val="17"/>
                <w:lang w:val="en-US" w:eastAsia="zh-CN"/>
              </w:rPr>
              <w:t>合格</w:t>
            </w:r>
          </w:p>
        </w:tc>
        <w:tc>
          <w:tcPr>
            <w:tcW w:w="661" w:type="pct"/>
            <w:vAlign w:val="center"/>
          </w:tcPr>
          <w:p>
            <w:pPr>
              <w:widowControl/>
              <w:spacing w:line="0" w:lineRule="atLeast"/>
              <w:jc w:val="center"/>
              <w:rPr>
                <w:rFonts w:hint="eastAsia"/>
                <w:sz w:val="17"/>
                <w:lang w:val="en-US" w:eastAsia="zh-CN"/>
              </w:rPr>
            </w:pPr>
            <w:r>
              <w:rPr>
                <w:rFonts w:hint="eastAsia"/>
                <w:sz w:val="17"/>
                <w:lang w:val="en-US" w:eastAsia="zh-CN"/>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1" w:hRule="atLeast"/>
        </w:trPr>
        <w:tc>
          <w:tcPr>
            <w:tcW w:w="520" w:type="pct"/>
            <w:vMerge w:val="continue"/>
            <w:textDirection w:val="tbRlV"/>
            <w:vAlign w:val="center"/>
          </w:tcPr>
          <w:p>
            <w:pPr>
              <w:jc w:val="center"/>
              <w:rPr>
                <w:rFonts w:hint="eastAsia" w:ascii="黑体" w:hAnsi="黑体" w:eastAsia="黑体" w:cs="黑体"/>
                <w:sz w:val="21"/>
                <w:szCs w:val="21"/>
              </w:rPr>
            </w:pPr>
          </w:p>
        </w:tc>
        <w:tc>
          <w:tcPr>
            <w:tcW w:w="520" w:type="pct"/>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654" w:type="pct"/>
            <w:tcBorders>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时</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tc>
        <w:tc>
          <w:tcPr>
            <w:tcW w:w="544" w:type="pct"/>
            <w:vAlign w:val="center"/>
          </w:tcPr>
          <w:p>
            <w:pPr>
              <w:widowControl/>
              <w:spacing w:line="0" w:lineRule="atLeast"/>
              <w:jc w:val="center"/>
              <w:rPr>
                <w:rFonts w:hint="eastAsia"/>
                <w:sz w:val="17"/>
                <w:lang w:val="en-US" w:eastAsia="zh-CN"/>
              </w:rPr>
            </w:pPr>
            <w:r>
              <w:rPr>
                <w:rFonts w:hint="eastAsia"/>
                <w:sz w:val="17"/>
                <w:lang w:eastAsia="zh-CN"/>
              </w:rPr>
              <w:t>指标1：年度内完成目标。</w:t>
            </w:r>
          </w:p>
        </w:tc>
        <w:tc>
          <w:tcPr>
            <w:tcW w:w="575" w:type="pct"/>
            <w:vAlign w:val="center"/>
          </w:tcPr>
          <w:p>
            <w:pPr>
              <w:widowControl/>
              <w:spacing w:line="0" w:lineRule="atLeast"/>
              <w:jc w:val="center"/>
              <w:rPr>
                <w:rFonts w:hint="eastAsia"/>
                <w:sz w:val="17"/>
                <w:lang w:val="en-US" w:eastAsia="zh-CN"/>
              </w:rPr>
            </w:pPr>
            <w:r>
              <w:rPr>
                <w:rFonts w:hint="eastAsia"/>
                <w:sz w:val="17"/>
                <w:lang w:eastAsia="zh-CN"/>
              </w:rPr>
              <w:t>202</w:t>
            </w:r>
            <w:r>
              <w:rPr>
                <w:rFonts w:hint="eastAsia"/>
                <w:sz w:val="17"/>
                <w:lang w:val="en-US" w:eastAsia="zh-CN"/>
              </w:rPr>
              <w:t>3</w:t>
            </w:r>
            <w:r>
              <w:rPr>
                <w:rFonts w:hint="eastAsia"/>
                <w:sz w:val="17"/>
                <w:lang w:eastAsia="zh-CN"/>
              </w:rPr>
              <w:t>年12月31日前</w:t>
            </w:r>
          </w:p>
        </w:tc>
        <w:tc>
          <w:tcPr>
            <w:tcW w:w="661" w:type="pct"/>
            <w:vAlign w:val="center"/>
          </w:tcPr>
          <w:p>
            <w:pPr>
              <w:widowControl/>
              <w:spacing w:line="0" w:lineRule="atLeast"/>
              <w:jc w:val="center"/>
              <w:rPr>
                <w:rFonts w:hint="eastAsia"/>
                <w:sz w:val="17"/>
                <w:lang w:val="en-US" w:eastAsia="zh-CN"/>
              </w:rPr>
            </w:pPr>
            <w:r>
              <w:rPr>
                <w:rFonts w:hint="eastAsia"/>
                <w:sz w:val="17"/>
                <w:lang w:eastAsia="zh-CN"/>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restart"/>
            <w:vAlign w:val="center"/>
          </w:tcPr>
          <w:p>
            <w:pPr>
              <w:jc w:val="center"/>
              <w:rPr>
                <w:rFonts w:hint="eastAsia" w:ascii="黑体" w:hAnsi="黑体" w:eastAsia="黑体" w:cs="黑体"/>
                <w:sz w:val="21"/>
                <w:szCs w:val="21"/>
              </w:rPr>
            </w:pPr>
            <w:r>
              <w:rPr>
                <w:rFonts w:hint="eastAsia" w:ascii="黑体" w:hAnsi="黑体" w:eastAsia="黑体" w:cs="黑体"/>
                <w:sz w:val="21"/>
                <w:szCs w:val="21"/>
              </w:rPr>
              <w:t>绩</w:t>
            </w:r>
          </w:p>
          <w:p>
            <w:pPr>
              <w:jc w:val="center"/>
              <w:rPr>
                <w:rFonts w:hint="eastAsia" w:ascii="黑体" w:hAnsi="黑体" w:eastAsia="黑体" w:cs="黑体"/>
                <w:sz w:val="21"/>
                <w:szCs w:val="21"/>
              </w:rPr>
            </w:pPr>
            <w:r>
              <w:rPr>
                <w:rFonts w:hint="eastAsia" w:ascii="黑体" w:hAnsi="黑体" w:eastAsia="黑体" w:cs="黑体"/>
                <w:sz w:val="21"/>
                <w:szCs w:val="21"/>
              </w:rPr>
              <w:t>效</w:t>
            </w:r>
          </w:p>
          <w:p>
            <w:pPr>
              <w:jc w:val="center"/>
              <w:rPr>
                <w:rFonts w:hint="eastAsia" w:ascii="黑体" w:hAnsi="黑体" w:eastAsia="黑体" w:cs="黑体"/>
                <w:sz w:val="21"/>
                <w:szCs w:val="21"/>
              </w:rPr>
            </w:pPr>
            <w:r>
              <w:rPr>
                <w:rFonts w:hint="eastAsia" w:ascii="黑体" w:hAnsi="黑体" w:eastAsia="黑体" w:cs="黑体"/>
                <w:sz w:val="21"/>
                <w:szCs w:val="21"/>
              </w:rPr>
              <w:t>指</w:t>
            </w:r>
          </w:p>
          <w:p>
            <w:pPr>
              <w:jc w:val="center"/>
              <w:rPr>
                <w:rFonts w:hint="eastAsia" w:ascii="黑体" w:hAnsi="黑体" w:eastAsia="黑体" w:cs="黑体"/>
                <w:sz w:val="21"/>
                <w:szCs w:val="21"/>
              </w:rPr>
            </w:pPr>
            <w:r>
              <w:rPr>
                <w:rFonts w:hint="eastAsia" w:ascii="黑体" w:hAnsi="黑体" w:eastAsia="黑体" w:cs="黑体"/>
                <w:sz w:val="21"/>
                <w:szCs w:val="21"/>
              </w:rPr>
              <w:t>标</w:t>
            </w:r>
          </w:p>
        </w:tc>
        <w:tc>
          <w:tcPr>
            <w:tcW w:w="520"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益</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（30分）</w:t>
            </w:r>
          </w:p>
        </w:tc>
        <w:tc>
          <w:tcPr>
            <w:tcW w:w="654" w:type="pct"/>
            <w:vMerge w:val="restar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经济</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效益</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544" w:type="pct"/>
            <w:vAlign w:val="center"/>
          </w:tcPr>
          <w:p>
            <w:pPr>
              <w:autoSpaceDN w:val="0"/>
              <w:spacing w:line="320" w:lineRule="exact"/>
              <w:jc w:val="left"/>
              <w:textAlignment w:val="center"/>
              <w:rPr>
                <w:rFonts w:hint="eastAsia" w:ascii="新宋体" w:hAnsi="新宋体" w:eastAsia="新宋体" w:cs="新宋体"/>
                <w:color w:val="auto"/>
                <w:kern w:val="2"/>
                <w:sz w:val="21"/>
                <w:szCs w:val="21"/>
                <w:lang w:val="en-US" w:eastAsia="zh-CN" w:bidi="ar-SA"/>
              </w:rPr>
            </w:pPr>
            <w:r>
              <w:rPr>
                <w:rFonts w:hint="eastAsia"/>
                <w:color w:val="auto"/>
                <w:sz w:val="17"/>
              </w:rPr>
              <w:t>指标1：有效增加农民人均纯收人。</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vMerge w:val="continue"/>
            <w:tcBorders>
              <w:top w:val="nil"/>
              <w:left w:val="single" w:color="auto" w:sz="4" w:space="0"/>
              <w:bottom w:val="nil"/>
            </w:tcBorders>
            <w:vAlign w:val="center"/>
          </w:tcPr>
          <w:p>
            <w:pPr>
              <w:jc w:val="center"/>
              <w:rPr>
                <w:rFonts w:hint="eastAsia" w:asciiTheme="minorEastAsia" w:hAnsiTheme="minorEastAsia" w:eastAsiaTheme="minorEastAsia" w:cstheme="minorEastAsia"/>
                <w:sz w:val="21"/>
                <w:szCs w:val="21"/>
              </w:rPr>
            </w:pPr>
          </w:p>
        </w:tc>
        <w:tc>
          <w:tcPr>
            <w:tcW w:w="544" w:type="pct"/>
            <w:vAlign w:val="center"/>
          </w:tcPr>
          <w:p>
            <w:pPr>
              <w:widowControl/>
              <w:spacing w:line="0" w:lineRule="atLeast"/>
              <w:rPr>
                <w:rFonts w:hint="eastAsia" w:ascii="新宋体" w:hAnsi="新宋体" w:eastAsia="新宋体" w:cs="新宋体"/>
                <w:color w:val="auto"/>
                <w:kern w:val="2"/>
                <w:sz w:val="21"/>
                <w:szCs w:val="21"/>
                <w:lang w:val="en-US" w:eastAsia="zh-CN" w:bidi="ar-SA"/>
              </w:rPr>
            </w:pPr>
            <w:r>
              <w:rPr>
                <w:rFonts w:hint="eastAsia"/>
                <w:color w:val="auto"/>
                <w:sz w:val="17"/>
              </w:rPr>
              <w:t>指标2：有效提升粮食生产。</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vMerge w:val="continue"/>
            <w:tcBorders>
              <w:top w:val="nil"/>
              <w:lef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544" w:type="pct"/>
            <w:vAlign w:val="center"/>
          </w:tcPr>
          <w:p>
            <w:pPr>
              <w:widowControl/>
              <w:spacing w:line="0" w:lineRule="atLeast"/>
              <w:rPr>
                <w:rFonts w:hint="eastAsia" w:ascii="新宋体" w:hAnsi="新宋体" w:eastAsia="新宋体" w:cs="新宋体"/>
                <w:color w:val="auto"/>
                <w:kern w:val="2"/>
                <w:sz w:val="21"/>
                <w:szCs w:val="21"/>
                <w:lang w:val="en-US" w:eastAsia="zh-CN" w:bidi="ar-SA"/>
              </w:rPr>
            </w:pPr>
            <w:r>
              <w:rPr>
                <w:rFonts w:hint="eastAsia"/>
                <w:color w:val="auto"/>
                <w:sz w:val="17"/>
              </w:rPr>
              <w:t>指标3：有效支持产业发展。</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vMerge w:val="restar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社会</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效益</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544" w:type="pct"/>
            <w:vAlign w:val="center"/>
          </w:tcPr>
          <w:p>
            <w:pPr>
              <w:jc w:val="center"/>
              <w:rPr>
                <w:rFonts w:hint="eastAsia" w:eastAsia="宋体" w:asciiTheme="minorEastAsia" w:hAnsiTheme="minorEastAsia" w:cstheme="minorEastAsia"/>
                <w:sz w:val="21"/>
                <w:szCs w:val="21"/>
                <w:lang w:eastAsia="zh-CN"/>
              </w:rPr>
            </w:pPr>
            <w:r>
              <w:rPr>
                <w:rFonts w:hint="eastAsia"/>
                <w:color w:val="auto"/>
                <w:sz w:val="17"/>
              </w:rPr>
              <w:t>指标1：有效</w:t>
            </w:r>
            <w:r>
              <w:rPr>
                <w:rFonts w:hint="eastAsia"/>
                <w:color w:val="auto"/>
                <w:sz w:val="17"/>
                <w:lang w:eastAsia="zh-CN"/>
              </w:rPr>
              <w:t>提升居民出行方便</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vMerge w:val="continue"/>
            <w:tcBorders>
              <w:top w:val="nil"/>
              <w:left w:val="single" w:color="auto" w:sz="4" w:space="0"/>
              <w:bottom w:val="nil"/>
            </w:tcBorders>
            <w:vAlign w:val="center"/>
          </w:tcPr>
          <w:p>
            <w:pPr>
              <w:jc w:val="center"/>
              <w:rPr>
                <w:rFonts w:hint="eastAsia" w:asciiTheme="minorEastAsia" w:hAnsiTheme="minorEastAsia" w:eastAsiaTheme="minorEastAsia" w:cstheme="minorEastAsia"/>
                <w:sz w:val="21"/>
                <w:szCs w:val="21"/>
              </w:rPr>
            </w:pPr>
          </w:p>
        </w:tc>
        <w:tc>
          <w:tcPr>
            <w:tcW w:w="544" w:type="pct"/>
            <w:vAlign w:val="center"/>
          </w:tcPr>
          <w:p>
            <w:pPr>
              <w:jc w:val="center"/>
              <w:rPr>
                <w:rFonts w:hint="eastAsia" w:asciiTheme="minorEastAsia" w:hAnsiTheme="minorEastAsia" w:eastAsiaTheme="minorEastAsia" w:cstheme="minorEastAsia"/>
                <w:sz w:val="21"/>
                <w:szCs w:val="21"/>
              </w:rPr>
            </w:pPr>
            <w:r>
              <w:rPr>
                <w:rFonts w:hint="eastAsia"/>
                <w:color w:val="auto"/>
                <w:sz w:val="17"/>
              </w:rPr>
              <w:t>指标2：有效</w:t>
            </w:r>
            <w:r>
              <w:rPr>
                <w:rFonts w:hint="eastAsia"/>
                <w:color w:val="auto"/>
                <w:sz w:val="17"/>
                <w:lang w:eastAsia="zh-CN"/>
              </w:rPr>
              <w:t>改善老年人养老环境</w:t>
            </w:r>
            <w:r>
              <w:rPr>
                <w:rFonts w:hint="eastAsia"/>
                <w:color w:val="auto"/>
                <w:sz w:val="17"/>
              </w:rPr>
              <w:t>。</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vMerge w:val="continue"/>
            <w:tcBorders>
              <w:top w:val="nil"/>
              <w:lef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544" w:type="pct"/>
            <w:vAlign w:val="center"/>
          </w:tcPr>
          <w:p>
            <w:pPr>
              <w:jc w:val="both"/>
              <w:rPr>
                <w:rFonts w:hint="eastAsia" w:asciiTheme="minorEastAsia" w:hAnsiTheme="minorEastAsia" w:eastAsiaTheme="minorEastAsia" w:cstheme="minorEastAsia"/>
                <w:sz w:val="21"/>
                <w:szCs w:val="21"/>
              </w:rPr>
            </w:pPr>
            <w:r>
              <w:rPr>
                <w:rFonts w:hint="eastAsia"/>
                <w:color w:val="auto"/>
                <w:sz w:val="17"/>
              </w:rPr>
              <w:t>指标1：有效</w:t>
            </w:r>
            <w:r>
              <w:rPr>
                <w:rFonts w:hint="eastAsia"/>
                <w:color w:val="auto"/>
                <w:sz w:val="17"/>
                <w:lang w:eastAsia="zh-CN"/>
              </w:rPr>
              <w:t>推进乡村振兴建设</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生态</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效益</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544" w:type="pct"/>
            <w:vAlign w:val="center"/>
          </w:tcPr>
          <w:p>
            <w:pPr>
              <w:jc w:val="center"/>
              <w:rPr>
                <w:rFonts w:hint="eastAsia" w:asciiTheme="minorEastAsia" w:hAnsiTheme="minorEastAsia" w:eastAsiaTheme="minorEastAsia" w:cstheme="minorEastAsia"/>
                <w:sz w:val="21"/>
                <w:szCs w:val="21"/>
                <w:lang w:eastAsia="zh-CN"/>
              </w:rPr>
            </w:pPr>
            <w:r>
              <w:rPr>
                <w:rFonts w:hint="eastAsia"/>
                <w:color w:val="auto"/>
                <w:sz w:val="17"/>
              </w:rPr>
              <w:t>指标1：人居环境整治，优化居住环境</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vMerge w:val="restar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可持续</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影响</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544" w:type="pct"/>
            <w:vAlign w:val="center"/>
          </w:tcPr>
          <w:p>
            <w:pPr>
              <w:jc w:val="center"/>
              <w:rPr>
                <w:rFonts w:hint="eastAsia" w:asciiTheme="minorEastAsia" w:hAnsiTheme="minorEastAsia" w:eastAsiaTheme="minorEastAsia" w:cstheme="minorEastAsia"/>
                <w:sz w:val="21"/>
                <w:szCs w:val="21"/>
              </w:rPr>
            </w:pPr>
            <w:r>
              <w:rPr>
                <w:rFonts w:hint="eastAsia"/>
                <w:color w:val="auto"/>
                <w:sz w:val="17"/>
              </w:rPr>
              <w:t>指标1：有效</w:t>
            </w:r>
            <w:r>
              <w:rPr>
                <w:rFonts w:hint="eastAsia"/>
                <w:color w:val="auto"/>
                <w:sz w:val="17"/>
                <w:lang w:eastAsia="zh-CN"/>
              </w:rPr>
              <w:t>完善基础设施建设</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vMerge w:val="continue"/>
            <w:tcBorders>
              <w:top w:val="nil"/>
              <w:left w:val="single" w:color="auto" w:sz="4" w:space="0"/>
              <w:bottom w:val="nil"/>
            </w:tcBorders>
            <w:vAlign w:val="center"/>
          </w:tcPr>
          <w:p>
            <w:pPr>
              <w:jc w:val="center"/>
              <w:rPr>
                <w:rFonts w:hint="eastAsia" w:asciiTheme="minorEastAsia" w:hAnsiTheme="minorEastAsia" w:eastAsiaTheme="minorEastAsia" w:cstheme="minorEastAsia"/>
                <w:sz w:val="21"/>
                <w:szCs w:val="21"/>
              </w:rPr>
            </w:pPr>
          </w:p>
        </w:tc>
        <w:tc>
          <w:tcPr>
            <w:tcW w:w="544" w:type="pct"/>
            <w:vAlign w:val="center"/>
          </w:tcPr>
          <w:p>
            <w:pPr>
              <w:jc w:val="center"/>
              <w:rPr>
                <w:rFonts w:hint="eastAsia" w:eastAsia="宋体" w:asciiTheme="minorEastAsia" w:hAnsiTheme="minorEastAsia" w:cstheme="minorEastAsia"/>
                <w:sz w:val="21"/>
                <w:szCs w:val="21"/>
                <w:lang w:val="en-US" w:eastAsia="zh-CN"/>
              </w:rPr>
            </w:pPr>
            <w:r>
              <w:rPr>
                <w:rFonts w:hint="eastAsia"/>
                <w:color w:val="auto"/>
                <w:sz w:val="17"/>
              </w:rPr>
              <w:t>指标1：有效</w:t>
            </w:r>
            <w:r>
              <w:rPr>
                <w:rFonts w:hint="eastAsia"/>
                <w:color w:val="auto"/>
                <w:sz w:val="17"/>
                <w:lang w:eastAsia="zh-CN"/>
              </w:rPr>
              <w:t>保障农村困难人员基本生活</w:t>
            </w:r>
          </w:p>
        </w:tc>
        <w:tc>
          <w:tcPr>
            <w:tcW w:w="575"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有效</w:t>
            </w:r>
          </w:p>
        </w:tc>
        <w:tc>
          <w:tcPr>
            <w:tcW w:w="661" w:type="pct"/>
            <w:vAlign w:val="center"/>
          </w:tcPr>
          <w:p>
            <w:pPr>
              <w:widowControl/>
              <w:spacing w:line="0" w:lineRule="atLeast"/>
              <w:jc w:val="center"/>
              <w:rPr>
                <w:rFonts w:hint="eastAsia" w:ascii="新宋体" w:hAnsi="新宋体" w:eastAsia="新宋体" w:cs="新宋体"/>
                <w:color w:val="auto"/>
                <w:kern w:val="2"/>
                <w:sz w:val="21"/>
                <w:szCs w:val="21"/>
                <w:lang w:val="en-US" w:eastAsia="zh-CN" w:bidi="ar-SA"/>
              </w:rPr>
            </w:pPr>
            <w:r>
              <w:rPr>
                <w:rFonts w:hint="eastAsia"/>
                <w:color w:val="auto"/>
                <w:sz w:val="17"/>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满意度</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（10分）</w:t>
            </w:r>
          </w:p>
        </w:tc>
        <w:tc>
          <w:tcPr>
            <w:tcW w:w="654" w:type="pc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服务对象</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满意度</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544" w:type="pct"/>
            <w:vAlign w:val="center"/>
          </w:tcPr>
          <w:p>
            <w:pPr>
              <w:widowControl/>
              <w:spacing w:line="0" w:lineRule="atLeast"/>
              <w:jc w:val="left"/>
              <w:rPr>
                <w:rFonts w:hint="eastAsia" w:ascii="Times New Roman" w:hAnsi="Times New Roman" w:eastAsia="宋体" w:cs="Times New Roman"/>
                <w:kern w:val="2"/>
                <w:sz w:val="17"/>
                <w:szCs w:val="24"/>
                <w:lang w:val="en-US" w:eastAsia="zh-CN" w:bidi="ar-SA"/>
              </w:rPr>
            </w:pPr>
            <w:r>
              <w:rPr>
                <w:rFonts w:hint="eastAsia"/>
                <w:sz w:val="17"/>
              </w:rPr>
              <w:t>指标1：社会公众或服务对象满意度</w:t>
            </w:r>
          </w:p>
        </w:tc>
        <w:tc>
          <w:tcPr>
            <w:tcW w:w="575" w:type="pct"/>
            <w:vAlign w:val="center"/>
          </w:tcPr>
          <w:p>
            <w:pPr>
              <w:widowControl/>
              <w:spacing w:line="0" w:lineRule="atLeast"/>
              <w:jc w:val="left"/>
              <w:rPr>
                <w:rFonts w:hint="eastAsia" w:ascii="新宋体" w:hAnsi="新宋体" w:eastAsia="新宋体" w:cs="新宋体"/>
                <w:kern w:val="2"/>
                <w:sz w:val="21"/>
                <w:szCs w:val="21"/>
                <w:lang w:val="en-US" w:eastAsia="zh-CN" w:bidi="ar-SA"/>
              </w:rPr>
            </w:pPr>
            <w:r>
              <w:rPr>
                <w:rFonts w:hint="eastAsia"/>
                <w:sz w:val="17"/>
              </w:rPr>
              <w:t>≥</w:t>
            </w:r>
            <w:r>
              <w:rPr>
                <w:rFonts w:hint="eastAsia" w:ascii="新宋体" w:hAnsi="新宋体" w:eastAsia="新宋体" w:cs="新宋体"/>
                <w:szCs w:val="21"/>
              </w:rPr>
              <w:t>90%</w:t>
            </w:r>
          </w:p>
        </w:tc>
        <w:tc>
          <w:tcPr>
            <w:tcW w:w="661" w:type="pct"/>
            <w:vAlign w:val="center"/>
          </w:tcPr>
          <w:p>
            <w:pPr>
              <w:widowControl/>
              <w:spacing w:line="0" w:lineRule="atLeast"/>
              <w:jc w:val="center"/>
              <w:rPr>
                <w:rFonts w:hint="eastAsia" w:ascii="新宋体" w:hAnsi="新宋体" w:eastAsia="新宋体" w:cs="新宋体"/>
                <w:kern w:val="2"/>
                <w:sz w:val="21"/>
                <w:szCs w:val="21"/>
                <w:lang w:val="en-US" w:eastAsia="zh-CN" w:bidi="ar-SA"/>
              </w:rPr>
            </w:pPr>
            <w:r>
              <w:rPr>
                <w:rFonts w:hint="eastAsia" w:ascii="Times New Roman" w:hAnsi="Times New Roman" w:eastAsia="宋体" w:cs="Times New Roman"/>
                <w:color w:val="auto"/>
                <w:sz w:val="17"/>
              </w:rPr>
              <w:t>完成</w:t>
            </w:r>
          </w:p>
        </w:tc>
        <w:tc>
          <w:tcPr>
            <w:tcW w:w="343"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w:t>
            </w:r>
          </w:p>
        </w:tc>
        <w:tc>
          <w:tcPr>
            <w:tcW w:w="403"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成</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本</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指</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（2</w:t>
            </w:r>
            <w:r>
              <w:rPr>
                <w:rFonts w:hint="eastAsia" w:asciiTheme="minorEastAsia" w:hAnsiTheme="minorEastAsia" w:eastAsiaTheme="minorEastAsia" w:cstheme="minorEastAsia"/>
                <w:sz w:val="21"/>
                <w:szCs w:val="21"/>
              </w:rPr>
              <w:t>0分</w:t>
            </w:r>
            <w:r>
              <w:rPr>
                <w:rFonts w:hint="eastAsia" w:asciiTheme="minorEastAsia" w:hAnsiTheme="minorEastAsia" w:eastAsiaTheme="minorEastAsia" w:cstheme="minorEastAsia"/>
                <w:sz w:val="21"/>
                <w:szCs w:val="21"/>
                <w:lang w:val="en-US" w:eastAsia="zh-CN"/>
              </w:rPr>
              <w:t>）</w:t>
            </w:r>
          </w:p>
        </w:tc>
        <w:tc>
          <w:tcPr>
            <w:tcW w:w="654" w:type="pct"/>
            <w:tcBorders>
              <w:top w:val="single" w:color="auto" w:sz="4" w:space="0"/>
              <w:left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经济</w:t>
            </w:r>
          </w:p>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成本</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eastAsia="zh-CN"/>
              </w:rPr>
              <w:t>指标</w:t>
            </w:r>
          </w:p>
        </w:tc>
        <w:tc>
          <w:tcPr>
            <w:tcW w:w="544" w:type="pct"/>
            <w:tcBorders>
              <w:left w:val="single" w:color="auto" w:sz="4" w:space="0"/>
            </w:tcBorders>
            <w:vAlign w:val="center"/>
          </w:tcPr>
          <w:p>
            <w:pPr>
              <w:jc w:val="center"/>
              <w:rPr>
                <w:rFonts w:hint="eastAsia" w:eastAsia="宋体" w:asciiTheme="minorEastAsia" w:hAnsiTheme="minorEastAsia" w:cstheme="minorEastAsia"/>
                <w:sz w:val="21"/>
                <w:szCs w:val="21"/>
                <w:lang w:val="en-US" w:eastAsia="zh-CN"/>
              </w:rPr>
            </w:pPr>
            <w:r>
              <w:rPr>
                <w:rFonts w:hint="eastAsia"/>
                <w:sz w:val="17"/>
              </w:rPr>
              <w:t>指标1：</w:t>
            </w:r>
            <w:r>
              <w:rPr>
                <w:rFonts w:hint="eastAsia"/>
                <w:sz w:val="17"/>
                <w:lang w:eastAsia="zh-CN"/>
              </w:rPr>
              <w:t>项目资金支付进度</w:t>
            </w:r>
          </w:p>
        </w:tc>
        <w:tc>
          <w:tcPr>
            <w:tcW w:w="575" w:type="pct"/>
            <w:vAlign w:val="center"/>
          </w:tcPr>
          <w:p>
            <w:pPr>
              <w:jc w:val="both"/>
              <w:rPr>
                <w:rFonts w:hint="default" w:eastAsia="宋体" w:asciiTheme="minorEastAsia" w:hAnsiTheme="minorEastAsia" w:cstheme="minorEastAsia"/>
                <w:sz w:val="21"/>
                <w:szCs w:val="21"/>
                <w:lang w:val="en-US" w:eastAsia="zh-CN"/>
              </w:rPr>
            </w:pPr>
            <w:r>
              <w:rPr>
                <w:rFonts w:hint="eastAsia"/>
                <w:sz w:val="17"/>
              </w:rPr>
              <w:t>≥</w:t>
            </w:r>
            <w:r>
              <w:rPr>
                <w:rFonts w:hint="eastAsia"/>
                <w:sz w:val="17"/>
                <w:lang w:val="en-US" w:eastAsia="zh-CN"/>
              </w:rPr>
              <w:t>100%</w:t>
            </w:r>
          </w:p>
        </w:tc>
        <w:tc>
          <w:tcPr>
            <w:tcW w:w="661" w:type="pct"/>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完成</w:t>
            </w:r>
          </w:p>
        </w:tc>
        <w:tc>
          <w:tcPr>
            <w:tcW w:w="343"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w:t>
            </w:r>
          </w:p>
        </w:tc>
        <w:tc>
          <w:tcPr>
            <w:tcW w:w="403" w:type="pct"/>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2"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tcBorders>
              <w:top w:val="single" w:color="auto" w:sz="4" w:space="0"/>
              <w:left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社会</w:t>
            </w:r>
          </w:p>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成本</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eastAsia="zh-CN"/>
              </w:rPr>
              <w:t>指标</w:t>
            </w:r>
          </w:p>
        </w:tc>
        <w:tc>
          <w:tcPr>
            <w:tcW w:w="544" w:type="pct"/>
            <w:tcBorders>
              <w:left w:val="single" w:color="auto" w:sz="4" w:space="0"/>
            </w:tcBorders>
            <w:vAlign w:val="center"/>
          </w:tcPr>
          <w:p>
            <w:pPr>
              <w:jc w:val="center"/>
              <w:rPr>
                <w:rFonts w:hint="eastAsia" w:eastAsia="宋体" w:asciiTheme="minorEastAsia" w:hAnsiTheme="minorEastAsia" w:cstheme="minorEastAsia"/>
                <w:sz w:val="21"/>
                <w:szCs w:val="21"/>
                <w:lang w:val="en-US" w:eastAsia="zh-CN"/>
              </w:rPr>
            </w:pPr>
            <w:r>
              <w:rPr>
                <w:rFonts w:hint="eastAsia"/>
                <w:sz w:val="17"/>
              </w:rPr>
              <w:t>指标1：</w:t>
            </w:r>
            <w:r>
              <w:rPr>
                <w:rFonts w:hint="eastAsia"/>
                <w:sz w:val="17"/>
                <w:lang w:eastAsia="zh-CN"/>
              </w:rPr>
              <w:t>群众满意度</w:t>
            </w:r>
          </w:p>
        </w:tc>
        <w:tc>
          <w:tcPr>
            <w:tcW w:w="575" w:type="pct"/>
            <w:vAlign w:val="center"/>
          </w:tcPr>
          <w:p>
            <w:pPr>
              <w:jc w:val="center"/>
              <w:rPr>
                <w:rFonts w:hint="eastAsia" w:asciiTheme="minorEastAsia" w:hAnsiTheme="minorEastAsia" w:eastAsiaTheme="minorEastAsia" w:cstheme="minorEastAsia"/>
                <w:sz w:val="21"/>
                <w:szCs w:val="21"/>
              </w:rPr>
            </w:pPr>
            <w:r>
              <w:rPr>
                <w:rFonts w:hint="eastAsia"/>
                <w:sz w:val="17"/>
              </w:rPr>
              <w:t>≥</w:t>
            </w:r>
            <w:r>
              <w:rPr>
                <w:rFonts w:hint="eastAsia"/>
                <w:sz w:val="17"/>
                <w:lang w:val="en-US" w:eastAsia="zh-CN"/>
              </w:rPr>
              <w:t>100%</w:t>
            </w:r>
          </w:p>
        </w:tc>
        <w:tc>
          <w:tcPr>
            <w:tcW w:w="661" w:type="pct"/>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520" w:type="pct"/>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520"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654" w:type="pct"/>
            <w:tcBorders>
              <w:top w:val="single" w:color="auto" w:sz="4" w:space="0"/>
              <w:left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生态</w:t>
            </w:r>
          </w:p>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环境</w:t>
            </w:r>
          </w:p>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成本</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eastAsia="zh-CN"/>
              </w:rPr>
              <w:t>指标</w:t>
            </w:r>
          </w:p>
        </w:tc>
        <w:tc>
          <w:tcPr>
            <w:tcW w:w="544" w:type="pct"/>
            <w:tcBorders>
              <w:lef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r>
              <w:rPr>
                <w:rFonts w:hint="eastAsia"/>
                <w:sz w:val="17"/>
              </w:rPr>
              <w:t>指标1：</w:t>
            </w:r>
            <w:r>
              <w:rPr>
                <w:rFonts w:hint="eastAsia"/>
                <w:sz w:val="17"/>
                <w:lang w:eastAsia="zh-CN"/>
              </w:rPr>
              <w:t>保证原有环境完整度</w:t>
            </w:r>
          </w:p>
        </w:tc>
        <w:tc>
          <w:tcPr>
            <w:tcW w:w="575" w:type="pct"/>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sz w:val="17"/>
              </w:rPr>
              <w:t>≥</w:t>
            </w:r>
            <w:r>
              <w:rPr>
                <w:rFonts w:hint="eastAsia"/>
                <w:sz w:val="17"/>
                <w:lang w:val="en-US" w:eastAsia="zh-CN"/>
              </w:rPr>
              <w:t>100%</w:t>
            </w:r>
          </w:p>
        </w:tc>
        <w:tc>
          <w:tcPr>
            <w:tcW w:w="661" w:type="pct"/>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eastAsia="zh-CN"/>
              </w:rPr>
              <w:t>完成</w:t>
            </w:r>
          </w:p>
        </w:tc>
        <w:tc>
          <w:tcPr>
            <w:tcW w:w="34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w:t>
            </w:r>
          </w:p>
        </w:tc>
        <w:tc>
          <w:tcPr>
            <w:tcW w:w="403" w:type="pct"/>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w:t>
            </w:r>
          </w:p>
        </w:tc>
        <w:tc>
          <w:tcPr>
            <w:tcW w:w="777" w:type="pct"/>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trPr>
        <w:tc>
          <w:tcPr>
            <w:tcW w:w="3475" w:type="pct"/>
            <w:gridSpan w:val="6"/>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总分</w:t>
            </w:r>
          </w:p>
        </w:tc>
        <w:tc>
          <w:tcPr>
            <w:tcW w:w="343" w:type="pct"/>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100</w:t>
            </w:r>
          </w:p>
        </w:tc>
        <w:tc>
          <w:tcPr>
            <w:tcW w:w="403" w:type="pct"/>
            <w:vAlign w:val="center"/>
          </w:tcPr>
          <w:p>
            <w:pPr>
              <w:jc w:val="center"/>
              <w:rPr>
                <w:rFonts w:hint="eastAsia" w:asciiTheme="minorEastAsia" w:hAnsiTheme="minorEastAsia" w:eastAsiaTheme="minorEastAsia" w:cstheme="minorEastAsia"/>
                <w:sz w:val="21"/>
                <w:szCs w:val="21"/>
              </w:rPr>
            </w:pPr>
          </w:p>
        </w:tc>
        <w:tc>
          <w:tcPr>
            <w:tcW w:w="777" w:type="pct"/>
            <w:vAlign w:val="center"/>
          </w:tcPr>
          <w:p>
            <w:pPr>
              <w:jc w:val="center"/>
              <w:rPr>
                <w:rFonts w:hint="eastAsia" w:asciiTheme="minorEastAsia" w:hAnsiTheme="minorEastAsia" w:eastAsiaTheme="minorEastAsia" w:cstheme="minorEastAsia"/>
                <w:sz w:val="21"/>
                <w:szCs w:val="21"/>
              </w:rPr>
            </w:pPr>
          </w:p>
        </w:tc>
      </w:tr>
    </w:tbl>
    <w:p>
      <w:pPr>
        <w:rPr>
          <w:rFonts w:hint="eastAsia"/>
        </w:rPr>
      </w:pPr>
      <w:r>
        <w:rPr>
          <w:rFonts w:hint="eastAsia"/>
        </w:rPr>
        <w:t>备注：每个一级项目支出一张表。如，业务工作经费，运行维护经费，其他事业发展类资金各一张表。</w:t>
      </w:r>
    </w:p>
    <w:p>
      <w:pPr>
        <w:rPr>
          <w:rFonts w:hint="eastAsia"/>
        </w:rPr>
      </w:pPr>
    </w:p>
    <w:p>
      <w:pPr>
        <w:rPr>
          <w:rFonts w:hint="eastAsia" w:eastAsia="宋体"/>
          <w:lang w:eastAsia="zh-CN"/>
        </w:rPr>
        <w:sectPr>
          <w:footerReference r:id="rId3" w:type="default"/>
          <w:pgSz w:w="11905" w:h="16838"/>
          <w:pgMar w:top="1984" w:right="1701" w:bottom="1984" w:left="1701" w:header="850" w:footer="1587" w:gutter="0"/>
          <w:pgNumType w:fmt="numberInDash"/>
          <w:cols w:space="0" w:num="1"/>
          <w:rtlGutter w:val="0"/>
          <w:docGrid w:type="lines" w:linePitch="314" w:charSpace="0"/>
        </w:sectPr>
      </w:pPr>
      <w:r>
        <w:rPr>
          <w:rFonts w:hint="eastAsia"/>
        </w:rPr>
        <w:t>填表人：</w:t>
      </w:r>
      <w:r>
        <w:rPr>
          <w:rFonts w:hint="eastAsia"/>
          <w:lang w:eastAsia="zh-CN"/>
        </w:rPr>
        <w:t>吴丽娟</w:t>
      </w:r>
      <w:r>
        <w:rPr>
          <w:rFonts w:hint="eastAsia"/>
          <w:lang w:val="en-US" w:eastAsia="zh-CN"/>
        </w:rPr>
        <w:t xml:space="preserve"> </w:t>
      </w:r>
      <w:r>
        <w:rPr>
          <w:rFonts w:hint="eastAsia"/>
        </w:rPr>
        <w:t xml:space="preserve"> 填报日期：</w:t>
      </w:r>
      <w:r>
        <w:rPr>
          <w:rFonts w:hint="eastAsia"/>
          <w:lang w:val="en-US" w:eastAsia="zh-CN"/>
        </w:rPr>
        <w:t>2023.5.28</w:t>
      </w:r>
      <w:r>
        <w:rPr>
          <w:rFonts w:hint="eastAsia"/>
        </w:rPr>
        <w:t xml:space="preserve">  联系电话： </w:t>
      </w:r>
      <w:r>
        <w:rPr>
          <w:rFonts w:hint="eastAsia"/>
          <w:lang w:val="en-US" w:eastAsia="zh-CN"/>
        </w:rPr>
        <w:t>13874577526</w:t>
      </w:r>
      <w:r>
        <w:rPr>
          <w:rFonts w:hint="eastAsia"/>
        </w:rPr>
        <w:t xml:space="preserve"> 单位负责人签字：</w:t>
      </w:r>
      <w:r>
        <w:rPr>
          <w:rFonts w:hint="eastAsia"/>
          <w:lang w:eastAsia="zh-CN"/>
        </w:rPr>
        <w:t>吴丽娟</w:t>
      </w:r>
    </w:p>
    <w:p>
      <w:pPr>
        <w:keepNext w:val="0"/>
        <w:keepLines w:val="0"/>
        <w:pageBreakBefore w:val="0"/>
        <w:widowControl/>
        <w:kinsoku/>
        <w:wordWrap/>
        <w:overflowPunct/>
        <w:topLinePunct w:val="0"/>
        <w:autoSpaceDE/>
        <w:autoSpaceDN/>
        <w:bidi w:val="0"/>
        <w:adjustRightInd/>
        <w:snapToGrid/>
        <w:spacing w:line="400" w:lineRule="exact"/>
        <w:jc w:val="both"/>
        <w:textAlignment w:val="auto"/>
        <w:rPr>
          <w:rFonts w:hint="eastAsia" w:ascii="黑体" w:hAnsi="黑体" w:eastAsia="黑体" w:cs="黑体"/>
          <w:sz w:val="21"/>
          <w:szCs w:val="21"/>
          <w:lang w:val="en-US" w:eastAsia="zh-CN"/>
        </w:rPr>
      </w:pPr>
    </w:p>
    <w:sectPr>
      <w:footerReference r:id="rId4" w:type="default"/>
      <w:pgSz w:w="11905" w:h="16838"/>
      <w:pgMar w:top="1984" w:right="1701" w:bottom="1984" w:left="1701" w:header="850" w:footer="1587" w:gutter="0"/>
      <w:pgBorders>
        <w:top w:val="none" w:sz="0" w:space="0"/>
        <w:left w:val="none" w:sz="0" w:space="0"/>
        <w:bottom w:val="none" w:sz="0" w:space="0"/>
        <w:right w:val="none" w:sz="0" w:space="0"/>
      </w:pgBorders>
      <w:pgNumType w:fmt="numberInDash"/>
      <w:cols w:space="0" w:num="1"/>
      <w:rtlGutter w:val="0"/>
      <w:docGrid w:type="lines" w:linePitch="314"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55BF33BA-BEDE-4A3B-911E-7568E4731EC2}"/>
  </w:font>
  <w:font w:name="Arial">
    <w:panose1 w:val="020B0604020202020204"/>
    <w:charset w:val="01"/>
    <w:family w:val="swiss"/>
    <w:pitch w:val="default"/>
    <w:sig w:usb0="E0002AFF" w:usb1="C0007843" w:usb2="00000009" w:usb3="00000000" w:csb0="400001FF" w:csb1="FFFF0000"/>
    <w:embedRegular r:id="rId2" w:fontKey="{EBB00792-46A5-4235-ACA7-C915FE242D16}"/>
  </w:font>
  <w:font w:name="黑体">
    <w:panose1 w:val="02010609060101010101"/>
    <w:charset w:val="86"/>
    <w:family w:val="auto"/>
    <w:pitch w:val="default"/>
    <w:sig w:usb0="800002BF" w:usb1="38CF7CFA" w:usb2="00000016" w:usb3="00000000" w:csb0="00040001" w:csb1="00000000"/>
    <w:embedRegular r:id="rId3" w:fontKey="{188916C3-7101-4AA7-A7AA-06B8F640EF5D}"/>
  </w:font>
  <w:font w:name="Courier New">
    <w:panose1 w:val="02070309020205020404"/>
    <w:charset w:val="01"/>
    <w:family w:val="modern"/>
    <w:pitch w:val="default"/>
    <w:sig w:usb0="E0002AFF" w:usb1="C0007843" w:usb2="00000009" w:usb3="00000000" w:csb0="400001FF" w:csb1="FFFF0000"/>
    <w:embedRegular r:id="rId4" w:fontKey="{929B1E0D-A391-449C-B930-9C9CE3B11752}"/>
  </w:font>
  <w:font w:name="Symbol">
    <w:panose1 w:val="05050102010706020507"/>
    <w:charset w:val="02"/>
    <w:family w:val="roman"/>
    <w:pitch w:val="default"/>
    <w:sig w:usb0="00000000" w:usb1="00000000" w:usb2="00000000" w:usb3="00000000" w:csb0="80000000" w:csb1="00000000"/>
    <w:embedRegular r:id="rId5" w:fontKey="{4EEAEF32-7EE6-4857-9E55-F5C9150011DD}"/>
  </w:font>
  <w:font w:name="Calibri">
    <w:panose1 w:val="020F0502020204030204"/>
    <w:charset w:val="00"/>
    <w:family w:val="swiss"/>
    <w:pitch w:val="default"/>
    <w:sig w:usb0="E00002FF" w:usb1="4000ACFF" w:usb2="00000001" w:usb3="00000000" w:csb0="2000019F" w:csb1="00000000"/>
    <w:embedRegular r:id="rId6" w:fontKey="{3FB145BE-4678-46D7-B7FF-29FF3ADFE41F}"/>
  </w:font>
  <w:font w:name="仿宋">
    <w:panose1 w:val="02010609060101010101"/>
    <w:charset w:val="86"/>
    <w:family w:val="auto"/>
    <w:pitch w:val="default"/>
    <w:sig w:usb0="800002BF" w:usb1="38CF7CFA" w:usb2="00000016" w:usb3="00000000" w:csb0="00040001" w:csb1="00000000"/>
    <w:embedRegular r:id="rId7" w:fontKey="{BC82C395-9C71-4310-8D5A-CD5D857017EB}"/>
  </w:font>
  <w:font w:name="方正小标宋_GBK">
    <w:panose1 w:val="03000509000000000000"/>
    <w:charset w:val="86"/>
    <w:family w:val="script"/>
    <w:pitch w:val="default"/>
    <w:sig w:usb0="00000001" w:usb1="080E0000" w:usb2="00000000" w:usb3="00000000" w:csb0="00040000" w:csb1="00000000"/>
    <w:embedRegular r:id="rId8" w:fontKey="{4E1413A2-9D29-4C27-A256-BF8975A8C530}"/>
  </w:font>
  <w:font w:name="华文仿宋">
    <w:panose1 w:val="02010600040101010101"/>
    <w:charset w:val="86"/>
    <w:family w:val="auto"/>
    <w:pitch w:val="default"/>
    <w:sig w:usb0="00000287" w:usb1="080F0000" w:usb2="00000000" w:usb3="00000000" w:csb0="0004009F" w:csb1="DFD70000"/>
    <w:embedRegular r:id="rId9" w:fontKey="{7E59F237-40D7-4022-87DA-2570A6021F1D}"/>
  </w:font>
  <w:font w:name="仿宋_GB2312">
    <w:panose1 w:val="02010609030101010101"/>
    <w:charset w:val="86"/>
    <w:family w:val="auto"/>
    <w:pitch w:val="default"/>
    <w:sig w:usb0="00000001" w:usb1="080E0000" w:usb2="00000000" w:usb3="00000000" w:csb0="00040000" w:csb1="00000000"/>
    <w:embedRegular r:id="rId10" w:fontKey="{32D3438A-691B-4407-8BA7-45CE87FA8FA3}"/>
  </w:font>
  <w:font w:name="方正小标宋简体">
    <w:panose1 w:val="03000509000000000000"/>
    <w:charset w:val="86"/>
    <w:family w:val="auto"/>
    <w:pitch w:val="default"/>
    <w:sig w:usb0="00000001" w:usb1="080E0000" w:usb2="00000000" w:usb3="00000000" w:csb0="00040000" w:csb1="00000000"/>
    <w:embedRegular r:id="rId11" w:fontKey="{33819CF6-5C7F-458B-946A-B4B834CDF41D}"/>
  </w:font>
  <w:font w:name="新宋体">
    <w:panose1 w:val="02010609030101010101"/>
    <w:charset w:val="86"/>
    <w:family w:val="auto"/>
    <w:pitch w:val="default"/>
    <w:sig w:usb0="00000003" w:usb1="288F0000" w:usb2="00000006" w:usb3="00000000" w:csb0="00040001" w:csb1="00000000"/>
    <w:embedRegular r:id="rId12" w:fontKey="{76662071-D48F-4037-9AE2-3467C50BD174}"/>
  </w:font>
  <w:font w:name="楷体_GB2312">
    <w:panose1 w:val="02010609030101010101"/>
    <w:charset w:val="86"/>
    <w:family w:val="auto"/>
    <w:pitch w:val="default"/>
    <w:sig w:usb0="00000001" w:usb1="080E0000" w:usb2="00000000" w:usb3="00000000" w:csb0="00040000" w:csb1="00000000"/>
  </w:font>
  <w:font w:name="方正楷体_GB2312">
    <w:altName w:val="宋体"/>
    <w:panose1 w:val="00000000000000000000"/>
    <w:charset w:val="00"/>
    <w:family w:val="auto"/>
    <w:pitch w:val="default"/>
    <w:sig w:usb0="00000000" w:usb1="00000000" w:usb2="00000012" w:usb3="00000000" w:csb0="00040001" w:csb1="00000000"/>
  </w:font>
  <w:font w:name="Cambria">
    <w:panose1 w:val="02040503050406030204"/>
    <w:charset w:val="00"/>
    <w:family w:val="roman"/>
    <w:pitch w:val="default"/>
    <w:sig w:usb0="E00002FF" w:usb1="400004FF" w:usb2="00000000" w:usb3="00000000" w:csb0="2000019F" w:csb1="00000000"/>
    <w:embedRegular r:id="rId13" w:fontKey="{46E55BDE-2E22-48CA-81D9-D8E3C422656C}"/>
  </w:font>
  <w:font w:name="方正舒体">
    <w:panose1 w:val="02010601030101010101"/>
    <w:charset w:val="86"/>
    <w:family w:val="auto"/>
    <w:pitch w:val="default"/>
    <w:sig w:usb0="00000003" w:usb1="080E0000" w:usb2="00000000" w:usb3="00000000" w:csb0="00040000" w:csb1="00000000"/>
  </w:font>
  <w:font w:name="楷体">
    <w:panose1 w:val="02010609060101010101"/>
    <w:charset w:val="86"/>
    <w:family w:val="auto"/>
    <w:pitch w:val="default"/>
    <w:sig w:usb0="800002BF" w:usb1="38CF7CFA" w:usb2="00000016" w:usb3="00000000" w:csb0="00040001" w:csb1="00000000"/>
  </w:font>
  <w:font w:name="隶书">
    <w:panose1 w:val="02010509060101010101"/>
    <w:charset w:val="86"/>
    <w:family w:val="auto"/>
    <w:pitch w:val="default"/>
    <w:sig w:usb0="00000001" w:usb1="080E0000" w:usb2="00000000" w:usb3="00000000" w:csb0="00040000" w:csb1="00000000"/>
  </w:font>
  <w:font w:name="华文琥珀">
    <w:panose1 w:val="02010800040101010101"/>
    <w:charset w:val="86"/>
    <w:family w:val="auto"/>
    <w:pitch w:val="default"/>
    <w:sig w:usb0="00000001" w:usb1="080F0000" w:usb2="00000000" w:usb3="00000000" w:csb0="00040000" w:csb1="00000000"/>
  </w:font>
  <w:font w:name="华文细黑">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before="1" w:line="174" w:lineRule="auto"/>
      <w:ind w:left="574"/>
      <w:rPr>
        <w:sz w:val="28"/>
        <w:szCs w:val="28"/>
      </w:rPr>
    </w:pP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default" w:ascii="Times New Roman" w:hAnsi="Times New Roman" w:eastAsia="华文仿宋" w:cs="Times New Roman"/>
                              <w:sz w:val="32"/>
                              <w:szCs w:val="32"/>
                            </w:rPr>
                          </w:pPr>
                          <w:r>
                            <w:rPr>
                              <w:rFonts w:hint="default" w:ascii="Times New Roman" w:hAnsi="Times New Roman" w:eastAsia="华文仿宋" w:cs="Times New Roman"/>
                              <w:sz w:val="32"/>
                              <w:szCs w:val="32"/>
                            </w:rPr>
                            <w:fldChar w:fldCharType="begin"/>
                          </w:r>
                          <w:r>
                            <w:rPr>
                              <w:rFonts w:hint="default" w:ascii="Times New Roman" w:hAnsi="Times New Roman" w:eastAsia="华文仿宋" w:cs="Times New Roman"/>
                              <w:sz w:val="32"/>
                              <w:szCs w:val="32"/>
                            </w:rPr>
                            <w:instrText xml:space="preserve"> PAGE  \* MERGEFORMAT </w:instrText>
                          </w:r>
                          <w:r>
                            <w:rPr>
                              <w:rFonts w:hint="default" w:ascii="Times New Roman" w:hAnsi="Times New Roman" w:eastAsia="华文仿宋" w:cs="Times New Roman"/>
                              <w:sz w:val="32"/>
                              <w:szCs w:val="32"/>
                            </w:rPr>
                            <w:fldChar w:fldCharType="separate"/>
                          </w:r>
                          <w:r>
                            <w:rPr>
                              <w:rFonts w:hint="default" w:ascii="Times New Roman" w:hAnsi="Times New Roman" w:eastAsia="华文仿宋" w:cs="Times New Roman"/>
                              <w:sz w:val="32"/>
                              <w:szCs w:val="32"/>
                            </w:rPr>
                            <w:t>12</w:t>
                          </w:r>
                          <w:r>
                            <w:rPr>
                              <w:rFonts w:hint="default" w:ascii="Times New Roman" w:hAnsi="Times New Roman" w:eastAsia="华文仿宋" w:cs="Times New Roman"/>
                              <w:sz w:val="32"/>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default" w:ascii="Times New Roman" w:hAnsi="Times New Roman" w:eastAsia="华文仿宋" w:cs="Times New Roman"/>
                        <w:sz w:val="32"/>
                        <w:szCs w:val="32"/>
                      </w:rPr>
                    </w:pPr>
                    <w:r>
                      <w:rPr>
                        <w:rFonts w:hint="default" w:ascii="Times New Roman" w:hAnsi="Times New Roman" w:eastAsia="华文仿宋" w:cs="Times New Roman"/>
                        <w:sz w:val="32"/>
                        <w:szCs w:val="32"/>
                      </w:rPr>
                      <w:fldChar w:fldCharType="begin"/>
                    </w:r>
                    <w:r>
                      <w:rPr>
                        <w:rFonts w:hint="default" w:ascii="Times New Roman" w:hAnsi="Times New Roman" w:eastAsia="华文仿宋" w:cs="Times New Roman"/>
                        <w:sz w:val="32"/>
                        <w:szCs w:val="32"/>
                      </w:rPr>
                      <w:instrText xml:space="preserve"> PAGE  \* MERGEFORMAT </w:instrText>
                    </w:r>
                    <w:r>
                      <w:rPr>
                        <w:rFonts w:hint="default" w:ascii="Times New Roman" w:hAnsi="Times New Roman" w:eastAsia="华文仿宋" w:cs="Times New Roman"/>
                        <w:sz w:val="32"/>
                        <w:szCs w:val="32"/>
                      </w:rPr>
                      <w:fldChar w:fldCharType="separate"/>
                    </w:r>
                    <w:r>
                      <w:rPr>
                        <w:rFonts w:hint="default" w:ascii="Times New Roman" w:hAnsi="Times New Roman" w:eastAsia="华文仿宋" w:cs="Times New Roman"/>
                        <w:sz w:val="32"/>
                        <w:szCs w:val="32"/>
                      </w:rPr>
                      <w:t>12</w:t>
                    </w:r>
                    <w:r>
                      <w:rPr>
                        <w:rFonts w:hint="default" w:ascii="Times New Roman" w:hAnsi="Times New Roman" w:eastAsia="华文仿宋" w:cs="Times New Roman"/>
                        <w:sz w:val="32"/>
                        <w:szCs w:val="3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before="1" w:line="174" w:lineRule="auto"/>
      <w:ind w:left="574"/>
      <w:rPr>
        <w:sz w:val="28"/>
        <w:szCs w:val="28"/>
      </w:rPr>
    </w:pPr>
    <w:r>
      <w:rPr>
        <w:sz w:val="2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15</w:t>
                          </w:r>
                          <w:r>
                            <w:rPr>
                              <w:rFonts w:hint="eastAsia" w:ascii="华文仿宋" w:hAnsi="华文仿宋" w:eastAsia="华文仿宋" w:cs="华文仿宋"/>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15</w:t>
                    </w:r>
                    <w:r>
                      <w:rPr>
                        <w:rFonts w:hint="eastAsia" w:ascii="华文仿宋" w:hAnsi="华文仿宋" w:eastAsia="华文仿宋" w:cs="华文仿宋"/>
                        <w:sz w:val="28"/>
                        <w:szCs w:val="2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4B5CE2"/>
    <w:multiLevelType w:val="singleLevel"/>
    <w:tmpl w:val="814B5CE2"/>
    <w:lvl w:ilvl="0" w:tentative="0">
      <w:start w:val="3"/>
      <w:numFmt w:val="chineseCounting"/>
      <w:suff w:val="nothing"/>
      <w:lvlText w:val="%1、"/>
      <w:lvlJc w:val="left"/>
      <w:rPr>
        <w:rFonts w:hint="eastAsia"/>
      </w:rPr>
    </w:lvl>
  </w:abstractNum>
  <w:abstractNum w:abstractNumId="1">
    <w:nsid w:val="85221E83"/>
    <w:multiLevelType w:val="singleLevel"/>
    <w:tmpl w:val="85221E83"/>
    <w:lvl w:ilvl="0" w:tentative="0">
      <w:start w:val="1"/>
      <w:numFmt w:val="decimal"/>
      <w:suff w:val="nothing"/>
      <w:lvlText w:val="%1、"/>
      <w:lvlJc w:val="left"/>
    </w:lvl>
  </w:abstractNum>
  <w:abstractNum w:abstractNumId="2">
    <w:nsid w:val="F320A5D6"/>
    <w:multiLevelType w:val="singleLevel"/>
    <w:tmpl w:val="F320A5D6"/>
    <w:lvl w:ilvl="0" w:tentative="0">
      <w:start w:val="2"/>
      <w:numFmt w:val="decimal"/>
      <w:suff w:val="nothing"/>
      <w:lvlText w:val="%1、"/>
      <w:lvlJc w:val="left"/>
    </w:lvl>
  </w:abstractNum>
  <w:abstractNum w:abstractNumId="3">
    <w:nsid w:val="3F534969"/>
    <w:multiLevelType w:val="singleLevel"/>
    <w:tmpl w:val="3F534969"/>
    <w:lvl w:ilvl="0" w:tentative="0">
      <w:start w:val="2"/>
      <w:numFmt w:val="chineseCounting"/>
      <w:suff w:val="nothing"/>
      <w:lvlText w:val="（%1）"/>
      <w:lvlJc w:val="left"/>
      <w:rPr>
        <w:rFonts w:hint="eastAsia"/>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bordersDoNotSurroundHeader w:val="0"/>
  <w:bordersDoNotSurroundFooter w:val="0"/>
  <w:documentProtection w:enforcement="0"/>
  <w:defaultTabStop w:val="420"/>
  <w:drawingGridHorizontalSpacing w:val="210"/>
  <w:drawingGridVerticalSpacing w:val="157"/>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MyODc5NTk4NWJlMjJmMGZlNTE4ZWEzOGQ0YTZiMjAifQ=="/>
  </w:docVars>
  <w:rsids>
    <w:rsidRoot w:val="0CCB7736"/>
    <w:rsid w:val="00047FEF"/>
    <w:rsid w:val="000A3906"/>
    <w:rsid w:val="001776F1"/>
    <w:rsid w:val="006F0A16"/>
    <w:rsid w:val="00706243"/>
    <w:rsid w:val="00773328"/>
    <w:rsid w:val="00821883"/>
    <w:rsid w:val="00917857"/>
    <w:rsid w:val="00951882"/>
    <w:rsid w:val="00A755C2"/>
    <w:rsid w:val="00D06DD6"/>
    <w:rsid w:val="011D2710"/>
    <w:rsid w:val="016A347B"/>
    <w:rsid w:val="01914021"/>
    <w:rsid w:val="01B42948"/>
    <w:rsid w:val="01BF20E7"/>
    <w:rsid w:val="01E4322D"/>
    <w:rsid w:val="021138F7"/>
    <w:rsid w:val="02B50488"/>
    <w:rsid w:val="0338470A"/>
    <w:rsid w:val="034822A9"/>
    <w:rsid w:val="03D86621"/>
    <w:rsid w:val="04EE6171"/>
    <w:rsid w:val="05315F6B"/>
    <w:rsid w:val="05395EA9"/>
    <w:rsid w:val="0616597F"/>
    <w:rsid w:val="06426ACC"/>
    <w:rsid w:val="07A62D33"/>
    <w:rsid w:val="086B5F82"/>
    <w:rsid w:val="09E6794E"/>
    <w:rsid w:val="0A067AB9"/>
    <w:rsid w:val="0ABD557B"/>
    <w:rsid w:val="0BBB5A8D"/>
    <w:rsid w:val="0C104906"/>
    <w:rsid w:val="0C607C21"/>
    <w:rsid w:val="0CCB7736"/>
    <w:rsid w:val="0D9E0E8D"/>
    <w:rsid w:val="0DBC1618"/>
    <w:rsid w:val="0E1F65D3"/>
    <w:rsid w:val="0E3E5716"/>
    <w:rsid w:val="0E6B257C"/>
    <w:rsid w:val="0EAB7397"/>
    <w:rsid w:val="0EF755B3"/>
    <w:rsid w:val="0F17035E"/>
    <w:rsid w:val="0F4E168D"/>
    <w:rsid w:val="0F7A0392"/>
    <w:rsid w:val="0FAF3959"/>
    <w:rsid w:val="0FD26E31"/>
    <w:rsid w:val="1020625B"/>
    <w:rsid w:val="11404466"/>
    <w:rsid w:val="11837AA9"/>
    <w:rsid w:val="11963ADD"/>
    <w:rsid w:val="11EB0F5C"/>
    <w:rsid w:val="11F20483"/>
    <w:rsid w:val="12123C76"/>
    <w:rsid w:val="12831010"/>
    <w:rsid w:val="129038DB"/>
    <w:rsid w:val="13441D7E"/>
    <w:rsid w:val="136F31F8"/>
    <w:rsid w:val="138750E0"/>
    <w:rsid w:val="1396506E"/>
    <w:rsid w:val="13D82A59"/>
    <w:rsid w:val="140E6961"/>
    <w:rsid w:val="15604228"/>
    <w:rsid w:val="15A620D3"/>
    <w:rsid w:val="16A3369E"/>
    <w:rsid w:val="17114A8B"/>
    <w:rsid w:val="176B77A7"/>
    <w:rsid w:val="178536BD"/>
    <w:rsid w:val="19516372"/>
    <w:rsid w:val="19575CC2"/>
    <w:rsid w:val="19A80228"/>
    <w:rsid w:val="19AF68C7"/>
    <w:rsid w:val="19E85A53"/>
    <w:rsid w:val="1A101464"/>
    <w:rsid w:val="1A4C1518"/>
    <w:rsid w:val="1AB71087"/>
    <w:rsid w:val="1AB74849"/>
    <w:rsid w:val="1AC52FF2"/>
    <w:rsid w:val="1AE6175D"/>
    <w:rsid w:val="1B742AA7"/>
    <w:rsid w:val="1BD5498B"/>
    <w:rsid w:val="1BF15B4E"/>
    <w:rsid w:val="1CA34935"/>
    <w:rsid w:val="1D5A640E"/>
    <w:rsid w:val="1E9351E5"/>
    <w:rsid w:val="1F7640EC"/>
    <w:rsid w:val="20176B8B"/>
    <w:rsid w:val="20D30097"/>
    <w:rsid w:val="20D76C5F"/>
    <w:rsid w:val="20E55C2B"/>
    <w:rsid w:val="21057490"/>
    <w:rsid w:val="214A230E"/>
    <w:rsid w:val="21B052C4"/>
    <w:rsid w:val="22B43877"/>
    <w:rsid w:val="22CA430C"/>
    <w:rsid w:val="22DF2F05"/>
    <w:rsid w:val="22FF5445"/>
    <w:rsid w:val="23201E3D"/>
    <w:rsid w:val="2342170A"/>
    <w:rsid w:val="238D0E57"/>
    <w:rsid w:val="24256710"/>
    <w:rsid w:val="251E7983"/>
    <w:rsid w:val="25FE2B31"/>
    <w:rsid w:val="260D5D83"/>
    <w:rsid w:val="260E1D77"/>
    <w:rsid w:val="277A77CA"/>
    <w:rsid w:val="28043432"/>
    <w:rsid w:val="284A2254"/>
    <w:rsid w:val="29165294"/>
    <w:rsid w:val="292F1467"/>
    <w:rsid w:val="29786927"/>
    <w:rsid w:val="297B51B4"/>
    <w:rsid w:val="29E40467"/>
    <w:rsid w:val="29F527E2"/>
    <w:rsid w:val="2A9A1E2C"/>
    <w:rsid w:val="2BF35971"/>
    <w:rsid w:val="2C487650"/>
    <w:rsid w:val="2C5A7AC4"/>
    <w:rsid w:val="2E4F43C0"/>
    <w:rsid w:val="2EC7368E"/>
    <w:rsid w:val="2EDC05D9"/>
    <w:rsid w:val="2F240CAA"/>
    <w:rsid w:val="2F5137B6"/>
    <w:rsid w:val="2FF62815"/>
    <w:rsid w:val="30FB4B41"/>
    <w:rsid w:val="31621165"/>
    <w:rsid w:val="322E1E8E"/>
    <w:rsid w:val="323C5548"/>
    <w:rsid w:val="33235CE2"/>
    <w:rsid w:val="33F22F3B"/>
    <w:rsid w:val="359F2200"/>
    <w:rsid w:val="35A42962"/>
    <w:rsid w:val="36AD0EA9"/>
    <w:rsid w:val="36FF783F"/>
    <w:rsid w:val="37450F88"/>
    <w:rsid w:val="375F1A7E"/>
    <w:rsid w:val="378B026E"/>
    <w:rsid w:val="37B47BE4"/>
    <w:rsid w:val="37C7238E"/>
    <w:rsid w:val="37D6106F"/>
    <w:rsid w:val="37F52D97"/>
    <w:rsid w:val="38241593"/>
    <w:rsid w:val="38856E40"/>
    <w:rsid w:val="38BE1DF3"/>
    <w:rsid w:val="38F862EB"/>
    <w:rsid w:val="39343807"/>
    <w:rsid w:val="39887BBC"/>
    <w:rsid w:val="3A0F7AD4"/>
    <w:rsid w:val="3A53023B"/>
    <w:rsid w:val="3AF42D2D"/>
    <w:rsid w:val="3B062751"/>
    <w:rsid w:val="3B3A041F"/>
    <w:rsid w:val="3BAE6BF9"/>
    <w:rsid w:val="3BEE0229"/>
    <w:rsid w:val="3C3568D7"/>
    <w:rsid w:val="3CCA47F2"/>
    <w:rsid w:val="3CDE0708"/>
    <w:rsid w:val="3D33006A"/>
    <w:rsid w:val="3D3954D4"/>
    <w:rsid w:val="3D5877DF"/>
    <w:rsid w:val="3DAE53BC"/>
    <w:rsid w:val="3DC55CAA"/>
    <w:rsid w:val="3DD556CA"/>
    <w:rsid w:val="3DFE271A"/>
    <w:rsid w:val="3E5F4AE1"/>
    <w:rsid w:val="3F450429"/>
    <w:rsid w:val="3FB6105E"/>
    <w:rsid w:val="3FBF3F86"/>
    <w:rsid w:val="3FF70715"/>
    <w:rsid w:val="3FFD550C"/>
    <w:rsid w:val="4021030A"/>
    <w:rsid w:val="40226C80"/>
    <w:rsid w:val="40C451A5"/>
    <w:rsid w:val="40C671E5"/>
    <w:rsid w:val="41051ABE"/>
    <w:rsid w:val="4156470B"/>
    <w:rsid w:val="41943ACE"/>
    <w:rsid w:val="42521D88"/>
    <w:rsid w:val="425D4066"/>
    <w:rsid w:val="430118BA"/>
    <w:rsid w:val="43173FD4"/>
    <w:rsid w:val="43B27D8E"/>
    <w:rsid w:val="44143822"/>
    <w:rsid w:val="44654A12"/>
    <w:rsid w:val="44E421C9"/>
    <w:rsid w:val="45320384"/>
    <w:rsid w:val="457C5F26"/>
    <w:rsid w:val="4716830A"/>
    <w:rsid w:val="47BF53CA"/>
    <w:rsid w:val="48B126BB"/>
    <w:rsid w:val="49CF255F"/>
    <w:rsid w:val="4A3239D7"/>
    <w:rsid w:val="4B2C5DCD"/>
    <w:rsid w:val="4B46D032"/>
    <w:rsid w:val="4B7D1173"/>
    <w:rsid w:val="4BBDFBDE"/>
    <w:rsid w:val="4BCF5C41"/>
    <w:rsid w:val="4C150E22"/>
    <w:rsid w:val="4C6A38FC"/>
    <w:rsid w:val="4CD520DA"/>
    <w:rsid w:val="4CE74BC3"/>
    <w:rsid w:val="4CEEB85C"/>
    <w:rsid w:val="4CF5000E"/>
    <w:rsid w:val="4D6D6EEB"/>
    <w:rsid w:val="4DB17672"/>
    <w:rsid w:val="4DB27F04"/>
    <w:rsid w:val="4F5D15A2"/>
    <w:rsid w:val="4FCB46B2"/>
    <w:rsid w:val="4FFE57BD"/>
    <w:rsid w:val="50AC44C4"/>
    <w:rsid w:val="50EA6DB9"/>
    <w:rsid w:val="51453FF0"/>
    <w:rsid w:val="515661FD"/>
    <w:rsid w:val="51714DE5"/>
    <w:rsid w:val="51CA7471"/>
    <w:rsid w:val="521C2FA3"/>
    <w:rsid w:val="522529B2"/>
    <w:rsid w:val="524806C4"/>
    <w:rsid w:val="5301082D"/>
    <w:rsid w:val="5387476B"/>
    <w:rsid w:val="53910AF4"/>
    <w:rsid w:val="53FBDA3F"/>
    <w:rsid w:val="54F63F7F"/>
    <w:rsid w:val="555952B3"/>
    <w:rsid w:val="555E65E4"/>
    <w:rsid w:val="556B5A36"/>
    <w:rsid w:val="5599697B"/>
    <w:rsid w:val="55AF40BB"/>
    <w:rsid w:val="55E65FDC"/>
    <w:rsid w:val="5613734A"/>
    <w:rsid w:val="562D7E5B"/>
    <w:rsid w:val="564F3D12"/>
    <w:rsid w:val="56F72F7C"/>
    <w:rsid w:val="5717642E"/>
    <w:rsid w:val="573F4E21"/>
    <w:rsid w:val="57946554"/>
    <w:rsid w:val="57D80A00"/>
    <w:rsid w:val="586243BF"/>
    <w:rsid w:val="58FD3402"/>
    <w:rsid w:val="5968027A"/>
    <w:rsid w:val="5AAF7799"/>
    <w:rsid w:val="5AB04BD0"/>
    <w:rsid w:val="5B5C1753"/>
    <w:rsid w:val="5BE211F7"/>
    <w:rsid w:val="5BF510BE"/>
    <w:rsid w:val="5C6C4B26"/>
    <w:rsid w:val="5D03DFF6"/>
    <w:rsid w:val="5D9C3D56"/>
    <w:rsid w:val="5DD775C7"/>
    <w:rsid w:val="5E134100"/>
    <w:rsid w:val="5F7A1C50"/>
    <w:rsid w:val="5FC69000"/>
    <w:rsid w:val="601C4AB5"/>
    <w:rsid w:val="604F2F3E"/>
    <w:rsid w:val="60BE691E"/>
    <w:rsid w:val="60F838FC"/>
    <w:rsid w:val="61444403"/>
    <w:rsid w:val="62265BDF"/>
    <w:rsid w:val="62E1699A"/>
    <w:rsid w:val="62FBC294"/>
    <w:rsid w:val="63123C13"/>
    <w:rsid w:val="637D5875"/>
    <w:rsid w:val="64147F0D"/>
    <w:rsid w:val="64B713E7"/>
    <w:rsid w:val="64D66362"/>
    <w:rsid w:val="65860217"/>
    <w:rsid w:val="659D5052"/>
    <w:rsid w:val="667E0AA1"/>
    <w:rsid w:val="66AE5CE5"/>
    <w:rsid w:val="66D4191C"/>
    <w:rsid w:val="677027A4"/>
    <w:rsid w:val="67B37C7A"/>
    <w:rsid w:val="67F20A94"/>
    <w:rsid w:val="68FB17C3"/>
    <w:rsid w:val="695F12F9"/>
    <w:rsid w:val="69636C3A"/>
    <w:rsid w:val="696D83E8"/>
    <w:rsid w:val="69C60A20"/>
    <w:rsid w:val="69CF7B2C"/>
    <w:rsid w:val="69EE4FDB"/>
    <w:rsid w:val="69FEC155"/>
    <w:rsid w:val="6A0B0004"/>
    <w:rsid w:val="6A3273AF"/>
    <w:rsid w:val="6AC56475"/>
    <w:rsid w:val="6AD35263"/>
    <w:rsid w:val="6B8D38AE"/>
    <w:rsid w:val="6BA1010E"/>
    <w:rsid w:val="6BC80F42"/>
    <w:rsid w:val="6CE47E41"/>
    <w:rsid w:val="6CED5810"/>
    <w:rsid w:val="6CF92413"/>
    <w:rsid w:val="6DFE5E04"/>
    <w:rsid w:val="6E0D1F7B"/>
    <w:rsid w:val="6E796921"/>
    <w:rsid w:val="6E87203D"/>
    <w:rsid w:val="6F8C2350"/>
    <w:rsid w:val="6F9278BB"/>
    <w:rsid w:val="6FB7D4E3"/>
    <w:rsid w:val="6FBE0EF0"/>
    <w:rsid w:val="6FFF1C22"/>
    <w:rsid w:val="70EC5DDE"/>
    <w:rsid w:val="71572F19"/>
    <w:rsid w:val="719B7427"/>
    <w:rsid w:val="71E33685"/>
    <w:rsid w:val="71F326B3"/>
    <w:rsid w:val="724A6793"/>
    <w:rsid w:val="72647B59"/>
    <w:rsid w:val="73680B18"/>
    <w:rsid w:val="7372FC32"/>
    <w:rsid w:val="73A56E44"/>
    <w:rsid w:val="73B12A87"/>
    <w:rsid w:val="741F26FA"/>
    <w:rsid w:val="74470DF8"/>
    <w:rsid w:val="744E1D52"/>
    <w:rsid w:val="74BD60BB"/>
    <w:rsid w:val="74CF0052"/>
    <w:rsid w:val="74FA3C0D"/>
    <w:rsid w:val="751D6EAE"/>
    <w:rsid w:val="75FD1676"/>
    <w:rsid w:val="7687113B"/>
    <w:rsid w:val="76C3247D"/>
    <w:rsid w:val="76EFC8B0"/>
    <w:rsid w:val="776ACBF9"/>
    <w:rsid w:val="77FF7A21"/>
    <w:rsid w:val="7951325E"/>
    <w:rsid w:val="799536BA"/>
    <w:rsid w:val="7B170752"/>
    <w:rsid w:val="7B382425"/>
    <w:rsid w:val="7B8F681B"/>
    <w:rsid w:val="7BC55225"/>
    <w:rsid w:val="7BFF9B5C"/>
    <w:rsid w:val="7C3B673F"/>
    <w:rsid w:val="7CED5089"/>
    <w:rsid w:val="7D8636B9"/>
    <w:rsid w:val="7DD96C0E"/>
    <w:rsid w:val="7E352599"/>
    <w:rsid w:val="7E474F7B"/>
    <w:rsid w:val="7E7F4A49"/>
    <w:rsid w:val="7E8F7AC1"/>
    <w:rsid w:val="7F2BE2DA"/>
    <w:rsid w:val="7F7F87CE"/>
    <w:rsid w:val="7FB79B09"/>
    <w:rsid w:val="7FE97AB9"/>
    <w:rsid w:val="7FF13FB3"/>
    <w:rsid w:val="7FF31D0E"/>
    <w:rsid w:val="7FFDD6B3"/>
    <w:rsid w:val="7FFFB476"/>
    <w:rsid w:val="8BDF47C4"/>
    <w:rsid w:val="97BCC380"/>
    <w:rsid w:val="9FFF52D8"/>
    <w:rsid w:val="AEB56B76"/>
    <w:rsid w:val="AF9DF110"/>
    <w:rsid w:val="AFABB544"/>
    <w:rsid w:val="B8EB831F"/>
    <w:rsid w:val="B97CA8A2"/>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nhideWhenUsed="0" w:uiPriority="99"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autoRedefine/>
    <w:qFormat/>
    <w:locked/>
    <w:uiPriority w:val="0"/>
    <w:pPr>
      <w:keepNext/>
      <w:keepLines/>
      <w:outlineLvl w:val="0"/>
    </w:pPr>
    <w:rPr>
      <w:rFonts w:eastAsia="黑体"/>
      <w:bCs/>
      <w:kern w:val="44"/>
      <w:szCs w:val="44"/>
    </w:rPr>
  </w:style>
  <w:style w:type="character" w:default="1" w:styleId="10">
    <w:name w:val="Default Paragraph Font"/>
    <w:autoRedefine/>
    <w:semiHidden/>
    <w:qFormat/>
    <w:uiPriority w:val="99"/>
  </w:style>
  <w:style w:type="table" w:default="1" w:styleId="8">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eastAsia="Times New Roman" w:cs="Times New Roman"/>
      <w:sz w:val="20"/>
      <w:szCs w:val="20"/>
    </w:rPr>
    <w:tblPr>
      <w:tblCellMar>
        <w:top w:w="0" w:type="dxa"/>
        <w:left w:w="108" w:type="dxa"/>
        <w:bottom w:w="0" w:type="dxa"/>
        <w:right w:w="108" w:type="dxa"/>
      </w:tblCellMar>
    </w:tblPr>
  </w:style>
  <w:style w:type="paragraph" w:styleId="2">
    <w:name w:val="footnote text"/>
    <w:basedOn w:val="1"/>
    <w:next w:val="1"/>
    <w:autoRedefine/>
    <w:qFormat/>
    <w:uiPriority w:val="0"/>
    <w:pPr>
      <w:snapToGrid w:val="0"/>
      <w:jc w:val="left"/>
    </w:pPr>
    <w:rPr>
      <w:sz w:val="18"/>
      <w:szCs w:val="18"/>
    </w:rPr>
  </w:style>
  <w:style w:type="paragraph" w:styleId="4">
    <w:name w:val="Body Text"/>
    <w:basedOn w:val="1"/>
    <w:autoRedefine/>
    <w:semiHidden/>
    <w:qFormat/>
    <w:uiPriority w:val="0"/>
    <w:rPr>
      <w:rFonts w:ascii="仿宋" w:hAnsi="仿宋" w:eastAsia="仿宋" w:cs="仿宋"/>
      <w:sz w:val="31"/>
      <w:szCs w:val="31"/>
      <w:lang w:val="en-US" w:eastAsia="en-US" w:bidi="ar-SA"/>
    </w:rPr>
  </w:style>
  <w:style w:type="paragraph" w:styleId="5">
    <w:name w:val="footer"/>
    <w:basedOn w:val="1"/>
    <w:link w:val="12"/>
    <w:autoRedefine/>
    <w:qFormat/>
    <w:uiPriority w:val="99"/>
    <w:pPr>
      <w:tabs>
        <w:tab w:val="center" w:pos="4153"/>
        <w:tab w:val="right" w:pos="8306"/>
      </w:tabs>
      <w:snapToGrid w:val="0"/>
      <w:jc w:val="left"/>
    </w:pPr>
    <w:rPr>
      <w:sz w:val="18"/>
      <w:szCs w:val="18"/>
    </w:rPr>
  </w:style>
  <w:style w:type="paragraph" w:styleId="6">
    <w:name w:val="header"/>
    <w:basedOn w:val="1"/>
    <w:link w:val="13"/>
    <w:autoRedefine/>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Normal (Web)"/>
    <w:basedOn w:val="1"/>
    <w:semiHidden/>
    <w:unhideWhenUsed/>
    <w:uiPriority w:val="99"/>
    <w:pPr>
      <w:spacing w:before="0" w:beforeAutospacing="1" w:after="0" w:afterAutospacing="1"/>
      <w:ind w:left="0" w:right="0"/>
      <w:jc w:val="left"/>
    </w:pPr>
    <w:rPr>
      <w:kern w:val="0"/>
      <w:sz w:val="24"/>
      <w:lang w:val="en-US" w:eastAsia="zh-CN" w:bidi="ar"/>
    </w:rPr>
  </w:style>
  <w:style w:type="table" w:styleId="9">
    <w:name w:val="Table Grid"/>
    <w:basedOn w:val="8"/>
    <w:autoRedefine/>
    <w:qFormat/>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1">
    <w:name w:val="page number"/>
    <w:basedOn w:val="10"/>
    <w:autoRedefine/>
    <w:qFormat/>
    <w:uiPriority w:val="99"/>
    <w:rPr>
      <w:rFonts w:cs="Times New Roman"/>
    </w:rPr>
  </w:style>
  <w:style w:type="character" w:customStyle="1" w:styleId="12">
    <w:name w:val="Footer Char"/>
    <w:basedOn w:val="10"/>
    <w:link w:val="5"/>
    <w:autoRedefine/>
    <w:semiHidden/>
    <w:qFormat/>
    <w:uiPriority w:val="99"/>
    <w:rPr>
      <w:sz w:val="18"/>
      <w:szCs w:val="18"/>
    </w:rPr>
  </w:style>
  <w:style w:type="character" w:customStyle="1" w:styleId="13">
    <w:name w:val="Header Char"/>
    <w:basedOn w:val="10"/>
    <w:link w:val="6"/>
    <w:autoRedefine/>
    <w:semiHidden/>
    <w:qFormat/>
    <w:uiPriority w:val="99"/>
    <w:rPr>
      <w:sz w:val="18"/>
      <w:szCs w:val="18"/>
    </w:rPr>
  </w:style>
  <w:style w:type="paragraph" w:styleId="14">
    <w:name w:val="List Paragraph"/>
    <w:basedOn w:val="1"/>
    <w:autoRedefine/>
    <w:qFormat/>
    <w:uiPriority w:val="99"/>
    <w:pPr>
      <w:ind w:firstLine="420" w:firstLineChars="200"/>
    </w:pPr>
    <w:rPr>
      <w:rFonts w:ascii="Calibri" w:hAnsi="Calibri"/>
      <w:szCs w:val="22"/>
    </w:rPr>
  </w:style>
  <w:style w:type="table" w:customStyle="1" w:styleId="15">
    <w:name w:val="Table Normal"/>
    <w:autoRedefine/>
    <w:semiHidden/>
    <w:unhideWhenUsed/>
    <w:qFormat/>
    <w:uiPriority w:val="0"/>
    <w:tblPr>
      <w:tblCellMar>
        <w:top w:w="0" w:type="dxa"/>
        <w:left w:w="0" w:type="dxa"/>
        <w:bottom w:w="0" w:type="dxa"/>
        <w:right w:w="0" w:type="dxa"/>
      </w:tblCellMar>
    </w:tblPr>
  </w:style>
  <w:style w:type="paragraph" w:customStyle="1" w:styleId="16">
    <w:name w:val="Table Text"/>
    <w:basedOn w:val="1"/>
    <w:autoRedefine/>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Pages>10</Pages>
  <Words>1606</Words>
  <Characters>1682</Characters>
  <Lines>0</Lines>
  <Paragraphs>0</Paragraphs>
  <TotalTime>10</TotalTime>
  <ScaleCrop>false</ScaleCrop>
  <LinksUpToDate>false</LinksUpToDate>
  <CharactersWithSpaces>1750</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2020-06-06T01:07:00Z</dcterms:created>
  <dc:creator>Administrator</dc:creator>
  <cp:lastModifiedBy>一宛西</cp:lastModifiedBy>
  <cp:lastPrinted>2024-05-27T02:50:00Z</cp:lastPrinted>
  <dcterms:modified xsi:type="dcterms:W3CDTF">2024-05-28T07:58:12Z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KSOSaveFontToCloudKey">
    <vt:lpwstr>386772509_embed</vt:lpwstr>
  </property>
  <property fmtid="{D5CDD505-2E9C-101B-9397-08002B2CF9AE}" pid="4" name="ICV">
    <vt:lpwstr>058060F83DAF4CA4957CF5E183505FA0_13</vt:lpwstr>
  </property>
</Properties>
</file>